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 xml:space="preserve">17/11/20 Fixation des modalités de constitution du rapport de doses et d'obtention du passeport </w:t>
            </w:r>
            <w:r>
              <w:br/>
            </w:r>
            <w:r>
              <w:rPr>
                <w:rFonts w:ascii="Arial" w:hAnsi="Arial"/>
                <w:b/>
                <w:i w:val="false"/>
                <w:color w:val="333333"/>
              </w:rPr>
              <w:t>Règlement technique du 17 novembre 2020 fixant les modalités de constitution du rapport de doses et de la transmission des résultats de la surveillance dosimétrique individuelle à l'Agence, ainsi que les modalités de consultation des doses contenues dans le registre d'exposition et d'obtention du passeport radiologique</w:t>
            </w:r>
          </w:p>
          <w:p>
            <w:pPr>
              <w:spacing w:before="0" w:after="0"/>
              <w:ind w:left="45"/>
              <w:jc w:val="left"/>
            </w:pPr>
            <w:r>
              <w:rPr>
                <w:rFonts w:ascii="Arial" w:hAnsi="Arial"/>
                <w:b w:val="false"/>
                <w:i w:val="false"/>
                <w:color w:val="333333"/>
                <w:sz w:val="18"/>
              </w:rPr>
              <w:t>Vu l'arrêté royal du 20 juillet 2001 portant règlement général de la protection de la population, des travailleurs et de l'environnement contre le danger des rayonnements ionisants, articles 30.6.4., 30.8., et 37quater;</w:t>
            </w:r>
          </w:p>
          <w:p>
            <w:pPr>
              <w:spacing w:before="0" w:after="0"/>
              <w:ind w:left="45"/>
              <w:jc w:val="left"/>
            </w:pPr>
            <w:r>
              <w:rPr>
                <w:rFonts w:ascii="Arial" w:hAnsi="Arial"/>
                <w:b w:val="false"/>
                <w:i w:val="false"/>
                <w:color w:val="333333"/>
                <w:sz w:val="18"/>
              </w:rPr>
              <w:t>Vu l'arrêté royal du 20 juillet 2020 fixant la forme, le contenu ainsi que les modalités et restrictions d'accès et d'usage du registre d'exposition et du passeport radiologique et modifiant l'arrêté royal du 20 juillet 2001 portant règlement général de la protection de la population, des travailleurs et de l'environnement contre le danger des rayonnements ionisants, articles 5, § 3, 4° et 8°, 6, § 1</w:t>
            </w:r>
            <w:r>
              <w:rPr>
                <w:rFonts w:ascii="Arial" w:hAnsi="Arial"/>
                <w:b w:val="false"/>
                <w:i w:val="false"/>
                <w:color w:val="333333"/>
                <w:sz w:val="18"/>
                <w:vertAlign w:val="superscript"/>
              </w:rPr>
              <w:t>er</w:t>
            </w:r>
            <w:r>
              <w:rPr>
                <w:rFonts w:ascii="Arial" w:hAnsi="Arial"/>
                <w:b w:val="false"/>
                <w:i w:val="false"/>
                <w:color w:val="333333"/>
                <w:sz w:val="18"/>
              </w:rPr>
              <w:t xml:space="preserve"> et 17, § 1</w:t>
            </w:r>
            <w:r>
              <w:rPr>
                <w:rFonts w:ascii="Arial" w:hAnsi="Arial"/>
                <w:b w:val="false"/>
                <w:i w:val="false"/>
                <w:color w:val="333333"/>
                <w:sz w:val="18"/>
                <w:vertAlign w:val="superscript"/>
              </w:rPr>
              <w:t>er</w:t>
            </w:r>
            <w:r>
              <w:rPr>
                <w:rFonts w:ascii="Arial" w:hAnsi="Arial"/>
                <w:b w:val="false"/>
                <w:i w:val="false"/>
                <w:color w:val="333333"/>
                <w:sz w:val="18"/>
              </w:rPr>
              <w:t>,</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17/11/20 Vaststelling van de modaliteiten voor het opstellen van het dosisverslag en het verkrijgen van een stralingspaspoort</w:t>
            </w:r>
            <w:r>
              <w:br/>
            </w:r>
            <w:r>
              <w:rPr>
                <w:rFonts w:ascii="Arial" w:hAnsi="Arial"/>
                <w:b/>
                <w:i w:val="false"/>
                <w:color w:val="333333"/>
              </w:rPr>
              <w:t>Technisch reglement van 17 november 2020 tot vaststelling van de modaliteiten voor het opstellen van het dosisverslag en de overdracht aan het Agentschap van de resultaten van het individueel dosimetrisch toezicht, alsook van de modaliteiten voor het raadplegen van de doses in het blootstellingsregister en het verkrijgen van een stralingspaspoort</w:t>
            </w:r>
          </w:p>
          <w:p>
            <w:pPr>
              <w:spacing w:before="0" w:after="0"/>
              <w:ind w:left="45"/>
              <w:jc w:val="left"/>
            </w:pPr>
            <w:r>
              <w:rPr>
                <w:rFonts w:ascii="Arial" w:hAnsi="Arial"/>
                <w:b w:val="false"/>
                <w:i w:val="false"/>
                <w:color w:val="333333"/>
                <w:sz w:val="18"/>
              </w:rPr>
              <w:t>Gelet op het koninklijk besluit van 20 juli 2001 houdende algemeen reglement op de bescherming van de bevolking, van de werknemers en het leefmilieu tegen het gevaar van de ioniserende stralingen, artikelen 30.6.4., 30.8. en 37quater;</w:t>
            </w:r>
          </w:p>
          <w:p>
            <w:pPr>
              <w:spacing w:before="0" w:after="0"/>
              <w:ind w:left="45"/>
              <w:jc w:val="left"/>
            </w:pPr>
            <w:r>
              <w:rPr>
                <w:rFonts w:ascii="Arial" w:hAnsi="Arial"/>
                <w:b w:val="false"/>
                <w:i w:val="false"/>
                <w:color w:val="333333"/>
                <w:sz w:val="18"/>
              </w:rPr>
              <w:t>Gelet op het koninklijk besluit van 20 juli 2020 tot vaststelling van de vorm, de inhoud, alsook van de beperkingen en modaliteiten voor de toegang tot en het gebruik van het blootstellingsregister en het stralingspaspoort en tot wijziging van het koninklijk besluit van 20 juli 2001 houdende algemeen reglement op de bescherming van de bevolking, van de werknemers en het leefmilieu tegen het gevaar van ioniserende stralingen, artikelen 5, § 3, 4° en 8°, 6, § 1 en 17, § 1,</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4 Transfert du rapport de doses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4.1 Mode de transfert </w:t>
            </w:r>
          </w:p>
          <w:p>
            <w:pPr>
              <w:spacing w:before="60" w:after="60"/>
              <w:ind w:left="45"/>
              <w:jc w:val="left"/>
            </w:pPr>
            <w:r>
              <w:rPr>
                <w:rFonts w:ascii="Arial" w:hAnsi="Arial"/>
                <w:b w:val="false"/>
                <w:i w:val="false"/>
                <w:color w:val="333333"/>
                <w:sz w:val="18"/>
              </w:rPr>
              <w:t>Une fois constitué, le rapport de doses peut être chargé par l'expéditeur de doses dans le registre d'exposition de l'Agence en suivant les instructions prévues à cet effet dans le manuel d'utilisation disponible sur le site internet de l'Agence https: //afcn.fgov.be/fr &gt; Professionnels &gt; Protection des travailleurs &gt; Registre d'exposition, dans la rubrique “Modalités d'utilisation du registre d'exposition”, à l'onglet “Utilisation de l'application National Dose Register (NDR) et constitution des fichiers de doses”.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4.2 Délais de transfert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Les informations concernant les doses officielles, spéciales, accidentelles et d'urgence des personnes soumises à la surveillance dosimétrique sont consignées dans un rapport de doses et transférées au registre d'exposition selon les délais fixés par le calendrier visé à l'article 8.</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0" w:after="0"/>
              <w:ind w:left="45"/>
              <w:jc w:val="left"/>
            </w:pPr>
            <w:r>
              <w:rPr>
                <w:rFonts w:ascii="Arial" w:hAnsi="Arial"/>
                <w:b w:val="false"/>
                <w:i w:val="false"/>
                <w:color w:val="333333"/>
                <w:sz w:val="18"/>
              </w:rPr>
              <w:t>Pour le secteur des activités professionnelles mettant en jeu des sources naturelles de rayonnements ionisants, le délai de transfert des informations concernant les doses est le suivant: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pour les entreprises exploitant des avions, endéans 6 mois suivant l'année calendrier pour laquelle les doses sont évaluées;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pour les autres activités professionnelles, dans un délai fixé par l'Agence dans les conditions spécifiques d'autorisation ou d'enregistrement.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4 Overdracht van het dosisverslag</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4.1 Wijze van overdracht </w:t>
            </w:r>
          </w:p>
          <w:p>
            <w:pPr>
              <w:spacing w:before="60" w:after="60"/>
              <w:ind w:left="45"/>
              <w:jc w:val="left"/>
            </w:pPr>
            <w:r>
              <w:rPr>
                <w:rFonts w:ascii="Arial" w:hAnsi="Arial"/>
                <w:b w:val="false"/>
                <w:i w:val="false"/>
                <w:color w:val="333333"/>
                <w:sz w:val="18"/>
              </w:rPr>
              <w:t>Eenmaal het dosisverslag werd opgemaakt, kan het door de dosisverzender worden geüpload in het blootstellingsregister van het Agentschap, overeenkomstig de hiervoor voorziene instructies opgenomen in de gebruikershandleiding beschikbaar op de website van het Agentschap https: //fanc.fgov.be/nl &gt; Professionelen &gt; Bescherming van de werknemers &gt; Blootstellingsregister, in de rubriek “Modaliteiten voor het gebruik van het blootstellingsregister”, onder de tab “Gebruik van de applicatie National Dose Register (NDR) en opmaak van de dosisbestanden”.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4.2 Overdrachtstermijnen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De informatie m.b.t. de officiële dosissen, de speciale dosissen, de ongevaldosissen en de dosissen in noodsituaties van de aan dosimetrisch toezicht onderworpen personen wordt verzameld in een dosisverslag en wordt binnen de termijnen bepaald in de kalender beoogd in artikel 8 aan het blootstellingsregister overgemaakt.</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0" w:after="0"/>
              <w:ind w:left="45"/>
              <w:jc w:val="left"/>
            </w:pPr>
            <w:r>
              <w:rPr>
                <w:rFonts w:ascii="Arial" w:hAnsi="Arial"/>
                <w:b w:val="false"/>
                <w:i w:val="false"/>
                <w:color w:val="333333"/>
                <w:sz w:val="18"/>
              </w:rPr>
              <w:t>Voor de sector van de beroepsactiviteiten waarbij natuurlijke stralingsbronnen worden aangewend, gebeurt de overdracht van de informatie m.b.t. de doses binnen de volgende termijn: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voor de ondernemingen die vliegtuigen exploiteren, binnen 6 maanden na het kalenderjaar waarvoor de doses werden geëvalueerd;</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voor de andere beroepsactiviteiten, binnen een door het Agentschap bepaalde termijn, overeenkomstig de specifieke vergunnings- of registratievoorwaarden.</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