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ARBIS</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27 Veiligheidsfactor</w:t>
            </w:r>
          </w:p>
          <w:p>
            <w:pPr>
              <w:spacing w:before="60" w:after="60"/>
              <w:ind w:left="45"/>
              <w:jc w:val="left"/>
            </w:pPr>
            <w:r>
              <w:rPr>
                <w:rFonts w:ascii="Arial" w:hAnsi="Arial"/>
                <w:b w:val="false"/>
                <w:i w:val="false"/>
                <w:color w:val="333333"/>
                <w:sz w:val="18"/>
              </w:rPr>
              <w:t>De ondernemingen dienen beschermingsmiddelen in het werk te stellen die toelaten een doeltreffende bescherming, zoals bepaald in artikel 2, te verzekeren.</w:t>
            </w:r>
          </w:p>
          <w:p>
            <w:pPr>
              <w:spacing w:before="60" w:after="60"/>
              <w:ind w:left="45"/>
              <w:jc w:val="left"/>
            </w:pPr>
            <w:r>
              <w:rPr>
                <w:rFonts w:ascii="Arial" w:hAnsi="Arial"/>
                <w:b w:val="false"/>
                <w:i w:val="false"/>
                <w:color w:val="333333"/>
                <w:sz w:val="18"/>
              </w:rPr>
              <w:t>De toestellen en installaties die niet of niet meer beantwoorden aan de bepalingen van dit reglement moeten buiten gebruik gesteld worden tot aan de vastgestelde tekortkomingen is verholpen.</w:t>
            </w:r>
          </w:p>
          <w:p>
            <w:pPr>
              <w:spacing w:before="0" w:after="0"/>
              <w:ind w:left="45"/>
              <w:jc w:val="left"/>
            </w:pPr>
            <w:r>
              <w:rPr>
                <w:rFonts w:ascii="Arial" w:hAnsi="Arial"/>
                <w:b w:val="false"/>
                <w:i w:val="false"/>
                <w:color w:val="333333"/>
                <w:sz w:val="18"/>
              </w:rPr>
              <w:t>Voor de toepassing van het eerste lid, worden de volgende veiligheidsfactoren als fundamenteel beschouwd en alleen of gezamenlijk aangewend:</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Bescherming door de afstand: In dit geval worden de onontbeerlijke maatregelen getroffen om de onvrijwillige benadering van de bronnen doelmatig te verhinderen.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Bescherming door pantsering van de bronnen: Wanneer de pantsering het enig gebruikte beschermingsmiddel is, mag de bij aanraking van het oppervlak van de pantsering ontvangen dosis niet meer dan 0,02 millisievert per uur bedragen.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Bescherming van de lokalen met schermen: In dit geval moeten de in de schermen aangebrachte openingen desnoods van doelmatige beschermingsmiddelen voorzien zijn.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Bescherming door het voorkomen van besmettingen: In dit geval worden de volgende beginselen nageleefd:</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men gebruikt bij voorkeur ingekapselde bronnen;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men gebruikt radioactieve stoffen met de zwakst mogelijke radiotoxiciteit;</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men gebruikt de geringst mogelijke hoeveelheden radioactieve stoffen;</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men vermijdt de verspreiding van radioactieve stoffen;</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men vermijdt verlies of diefstal van radioactieve stoffen;</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men vangt zorgvuldig de radioactieve afvalstoffen op;</w:t>
            </w:r>
          </w:p>
          <w:p>
            <w:pPr>
              <w:spacing w:before="0" w:after="0"/>
              <w:ind w:left="435"/>
              <w:jc w:val="left"/>
            </w:pPr>
            <w:r>
              <w:rPr>
                <w:rFonts w:ascii="Arial" w:hAnsi="Arial"/>
                <w:b w:val="false"/>
                <w:i w:val="false"/>
                <w:color w:val="333333"/>
                <w:sz w:val="18"/>
              </w:rPr>
              <w:t>g)</w:t>
            </w:r>
          </w:p>
          <w:p>
            <w:pPr>
              <w:spacing w:before="0" w:after="0"/>
              <w:ind w:left="735"/>
              <w:jc w:val="left"/>
            </w:pPr>
            <w:r>
              <w:rPr>
                <w:rFonts w:ascii="Arial" w:hAnsi="Arial"/>
                <w:b w:val="false"/>
                <w:i w:val="false"/>
                <w:color w:val="333333"/>
                <w:sz w:val="18"/>
              </w:rPr>
              <w:t>men houdt een nauwkeurige boekhouding van de radioactieve stoffen bij, wat onder meer moet toelaten ze op elk ogenblik efficiënt te lokaliseren;</w:t>
            </w:r>
          </w:p>
          <w:p>
            <w:pPr>
              <w:spacing w:before="0" w:after="0"/>
              <w:ind w:left="435"/>
              <w:jc w:val="left"/>
            </w:pPr>
            <w:r>
              <w:rPr>
                <w:rFonts w:ascii="Arial" w:hAnsi="Arial"/>
                <w:b w:val="false"/>
                <w:i w:val="false"/>
                <w:color w:val="333333"/>
                <w:sz w:val="18"/>
              </w:rPr>
              <w:t>h)</w:t>
            </w:r>
          </w:p>
          <w:p>
            <w:pPr>
              <w:spacing w:before="0" w:after="0"/>
              <w:ind w:left="735"/>
              <w:jc w:val="left"/>
            </w:pPr>
            <w:r>
              <w:rPr>
                <w:rFonts w:ascii="Arial" w:hAnsi="Arial"/>
                <w:b w:val="false"/>
                <w:i w:val="false"/>
                <w:color w:val="333333"/>
                <w:sz w:val="18"/>
              </w:rPr>
              <w:t>de uitrusting van het arbeidslokaal wordt aangepast aan de activiteit, aan de radiotoxiciteit en aan de fysische en chemische kenmerken van de in bezit gehouden of gebruikte radioactieve stoffen, alsook aan de voorziene bewerkingen;</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de radioactieve stoffen in niet-ingekapselde vorm worden slechts behandeld in de lokalen die zodanig ontworpen en/of uitgerust zijn dat de eventuele besmettingen gemakkelijk kunnen worden verwijderd;</w:t>
            </w:r>
          </w:p>
          <w:p>
            <w:pPr>
              <w:spacing w:before="0" w:after="0"/>
              <w:ind w:left="435"/>
              <w:jc w:val="left"/>
            </w:pPr>
            <w:r>
              <w:rPr>
                <w:rFonts w:ascii="Arial" w:hAnsi="Arial"/>
                <w:b w:val="false"/>
                <w:i w:val="false"/>
                <w:color w:val="333333"/>
                <w:sz w:val="18"/>
              </w:rPr>
              <w:t>j)</w:t>
            </w:r>
          </w:p>
          <w:p>
            <w:pPr>
              <w:spacing w:before="0" w:after="0"/>
              <w:ind w:left="735"/>
              <w:jc w:val="left"/>
            </w:pPr>
            <w:r>
              <w:rPr>
                <w:rFonts w:ascii="Arial" w:hAnsi="Arial"/>
                <w:b w:val="false"/>
                <w:i w:val="false"/>
                <w:color w:val="333333"/>
                <w:sz w:val="18"/>
              </w:rPr>
              <w:t>er wordt een zodanige werkmethode aangenomen dat het risico voor besmetting van de personen tot het minimum wordt beperkt.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Bescherming door beperking van de blootstellingstijd:</w:t>
            </w:r>
          </w:p>
          <w:p>
            <w:pPr>
              <w:spacing w:before="0" w:after="0"/>
              <w:ind w:left="90"/>
              <w:jc w:val="left"/>
            </w:pPr>
          </w:p>
          <w:p>
            <w:pPr>
              <w:spacing w:before="0" w:after="0"/>
              <w:ind w:left="390"/>
              <w:jc w:val="left"/>
            </w:pPr>
            <w:r>
              <w:rPr>
                <w:rFonts w:ascii="Arial" w:hAnsi="Arial"/>
                <w:b w:val="false"/>
                <w:i w:val="false"/>
                <w:color w:val="333333"/>
                <w:sz w:val="18"/>
              </w:rPr>
              <w:t>Deze bescherming kan worden verkregen door de verplaatsingssnelheid van de bron, door de snelheid waarmee de behandeling of de bewerking geschiedt of door de beperking van de werktijd en de beurtregeling van het personeel.</w:t>
            </w:r>
          </w:p>
          <w:p>
            <w:pPr>
              <w:spacing w:before="60" w:after="60"/>
              <w:ind w:left="45"/>
              <w:jc w:val="left"/>
            </w:pPr>
            <w:r>
              <w:rPr>
                <w:rFonts w:ascii="Arial" w:hAnsi="Arial"/>
                <w:b w:val="false"/>
                <w:i w:val="false"/>
                <w:color w:val="333333"/>
                <w:sz w:val="18"/>
              </w:rPr>
              <w:t>Onverminderd de bepalingen van artikel 20.1 dient bij de studie en het ontwerp van beschermingsmiddelen, evenals bij hun gebruik in de bestaande installaties, bij voorrang beroep gedaan te worden op collectieve beschermingsmiddelen die het stralings- en besmettingsniveau beperken, eerder dan op individuele beschermingsmiddelen.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27 Facteur de sécurité</w:t>
            </w:r>
          </w:p>
          <w:p>
            <w:pPr>
              <w:spacing w:before="60" w:after="60"/>
              <w:ind w:left="45"/>
              <w:jc w:val="left"/>
            </w:pPr>
            <w:r>
              <w:rPr>
                <w:rFonts w:ascii="Arial" w:hAnsi="Arial"/>
                <w:b w:val="false"/>
                <w:i w:val="false"/>
                <w:color w:val="333333"/>
                <w:sz w:val="18"/>
              </w:rPr>
              <w:t>Les entreprises sont tenues de mettre en œuvre les dispositifs de protection permettant d'assurer une protection efficace telle que définie à l'article 2.</w:t>
            </w:r>
          </w:p>
          <w:p>
            <w:pPr>
              <w:spacing w:before="60" w:after="60"/>
              <w:ind w:left="45"/>
              <w:jc w:val="left"/>
            </w:pPr>
            <w:r>
              <w:rPr>
                <w:rFonts w:ascii="Arial" w:hAnsi="Arial"/>
                <w:b w:val="false"/>
                <w:i w:val="false"/>
                <w:color w:val="333333"/>
                <w:sz w:val="18"/>
              </w:rPr>
              <w:t>Les appareils et les installations qui ne répondent pas ou plus aux dispositions du présent règlement doivent être mis hors service jusqu'à ce qu'il ait été porté remède aux défectuosités constatées.</w:t>
            </w:r>
          </w:p>
          <w:p>
            <w:pPr>
              <w:spacing w:before="0" w:after="0"/>
              <w:ind w:left="45"/>
              <w:jc w:val="left"/>
            </w:pPr>
            <w:r>
              <w:rPr>
                <w:rFonts w:ascii="Arial" w:hAnsi="Arial"/>
                <w:b w:val="false"/>
                <w:i w:val="false"/>
                <w:color w:val="333333"/>
                <w:sz w:val="18"/>
              </w:rPr>
              <w:t>Pour l'application du 1</w:t>
            </w:r>
            <w:r>
              <w:rPr>
                <w:rFonts w:ascii="Arial" w:hAnsi="Arial"/>
                <w:b w:val="false"/>
                <w:i w:val="false"/>
                <w:color w:val="333333"/>
                <w:sz w:val="18"/>
                <w:vertAlign w:val="superscript"/>
              </w:rPr>
              <w:t>er</w:t>
            </w:r>
            <w:r>
              <w:rPr>
                <w:rFonts w:ascii="Arial" w:hAnsi="Arial"/>
                <w:b w:val="false"/>
                <w:i w:val="false"/>
                <w:color w:val="333333"/>
                <w:sz w:val="18"/>
              </w:rPr>
              <w:t xml:space="preserve"> alinéa, les facteurs de sécurité suivants sont considérés comme fondamentaux et mis en œuvre seuls ou conjointement: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Protection par la distance: Dans ce cas les mesures indispensables sont prises pour interdire efficacement l'approche involontaire des sources.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Protection par le blindage des sources: Lorsque le blindage est le seul moyen de protection utilisé, la dose reçue au contact de la surface du blindage ne peut excéder 0,02 millisievert par heure.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Protection des locaux par des écrans: Dans ce cas, les ouvertures pratiquées dans les écrans sont, si nécessaire, pourvues de dispositifs de protection efficaces.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Protection par la prévention des contaminations: Dans ce cas on respecte les principes suivants: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on utilise de préférence des sources scellées;</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on utilise des substances radioactives de radiotoxicité aussi faible que possible;</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on utilise les quantités de substances radioactives aussi faibles que possible;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on évite la dispersion des substances radioactives;</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on évite la perte ou le vol des substances radioactives;</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on récolte soigneusement les déchets radioactifs;</w:t>
            </w:r>
          </w:p>
          <w:p>
            <w:pPr>
              <w:spacing w:before="0" w:after="0"/>
              <w:ind w:left="435"/>
              <w:jc w:val="left"/>
            </w:pPr>
            <w:r>
              <w:rPr>
                <w:rFonts w:ascii="Arial" w:hAnsi="Arial"/>
                <w:b w:val="false"/>
                <w:i w:val="false"/>
                <w:color w:val="333333"/>
                <w:sz w:val="18"/>
              </w:rPr>
              <w:t>g)</w:t>
            </w:r>
          </w:p>
          <w:p>
            <w:pPr>
              <w:spacing w:before="0" w:after="0"/>
              <w:ind w:left="735"/>
              <w:jc w:val="left"/>
            </w:pPr>
            <w:r>
              <w:rPr>
                <w:rFonts w:ascii="Arial" w:hAnsi="Arial"/>
                <w:b w:val="false"/>
                <w:i w:val="false"/>
                <w:color w:val="333333"/>
                <w:sz w:val="18"/>
              </w:rPr>
              <w:t>on tient une comptabilité rigoureuse des substances radioactives qui permet, notamment, de les localiser efficacement en permanence;</w:t>
            </w:r>
          </w:p>
          <w:p>
            <w:pPr>
              <w:spacing w:before="0" w:after="0"/>
              <w:ind w:left="435"/>
              <w:jc w:val="left"/>
            </w:pPr>
            <w:r>
              <w:rPr>
                <w:rFonts w:ascii="Arial" w:hAnsi="Arial"/>
                <w:b w:val="false"/>
                <w:i w:val="false"/>
                <w:color w:val="333333"/>
                <w:sz w:val="18"/>
              </w:rPr>
              <w:t>h)</w:t>
            </w:r>
          </w:p>
          <w:p>
            <w:pPr>
              <w:spacing w:before="0" w:after="0"/>
              <w:ind w:left="735"/>
              <w:jc w:val="left"/>
            </w:pPr>
            <w:r>
              <w:rPr>
                <w:rFonts w:ascii="Arial" w:hAnsi="Arial"/>
                <w:b w:val="false"/>
                <w:i w:val="false"/>
                <w:color w:val="333333"/>
                <w:sz w:val="18"/>
              </w:rPr>
              <w:t>on adapte l'équipement du local de travail à l'activité, à la radiotoxicité et aux caractéristiques physiques et chimiques des substances radioactives détenues ou mises en œuvre, ainsi qu'aux opérations prévues;</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on ne manipule les substances radioactives sous forme non scellée que dans les locaux conçus et/ou équipés de telle façon que les contaminations éventuelles puissent être aisément éliminées;</w:t>
            </w:r>
          </w:p>
          <w:p>
            <w:pPr>
              <w:spacing w:before="0" w:after="0"/>
              <w:ind w:left="435"/>
              <w:jc w:val="left"/>
            </w:pPr>
            <w:r>
              <w:rPr>
                <w:rFonts w:ascii="Arial" w:hAnsi="Arial"/>
                <w:b w:val="false"/>
                <w:i w:val="false"/>
                <w:color w:val="333333"/>
                <w:sz w:val="18"/>
              </w:rPr>
              <w:t>j)</w:t>
            </w:r>
          </w:p>
          <w:p>
            <w:pPr>
              <w:spacing w:before="0" w:after="0"/>
              <w:ind w:left="735"/>
              <w:jc w:val="left"/>
            </w:pPr>
            <w:r>
              <w:rPr>
                <w:rFonts w:ascii="Arial" w:hAnsi="Arial"/>
                <w:b w:val="false"/>
                <w:i w:val="false"/>
                <w:color w:val="333333"/>
                <w:sz w:val="18"/>
              </w:rPr>
              <w:t>on adopte la méthode de travail susceptible de réduire au minimum le risque de contamination des personnes.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Protection par la limitation du temps d'exposition:</w:t>
            </w:r>
          </w:p>
          <w:p>
            <w:pPr>
              <w:spacing w:before="0" w:after="0"/>
              <w:ind w:left="390"/>
              <w:jc w:val="left"/>
            </w:pPr>
            <w:r>
              <w:rPr>
                <w:rFonts w:ascii="Arial" w:hAnsi="Arial"/>
                <w:b w:val="false"/>
                <w:i w:val="false"/>
                <w:color w:val="333333"/>
                <w:sz w:val="18"/>
              </w:rPr>
              <w:t>Cette protection peut être obtenue par la vitesse de déplacement de la source, par la rapidité de la manipulation ou de l'opération ou par la limitation du temps de travail et la rotation du personnel.</w:t>
            </w:r>
          </w:p>
          <w:p>
            <w:pPr>
              <w:spacing w:before="60" w:after="60"/>
              <w:ind w:left="45"/>
              <w:jc w:val="left"/>
            </w:pPr>
            <w:r>
              <w:rPr>
                <w:rFonts w:ascii="Arial" w:hAnsi="Arial"/>
                <w:b w:val="false"/>
                <w:i w:val="false"/>
                <w:color w:val="333333"/>
                <w:sz w:val="18"/>
              </w:rPr>
              <w:t>Sans préjudice des dispositions de l'article 20.1, il est donné priorité, lors de l'étude et de la conception des moyens de protection, ainsi que lors de leur utilisation dans les installations existantes, aux moyens de protection collectifs qui limitent les niveaux de rayonnements et de contamination plutôt que de faire appel à des équipements de protection individuels.</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