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Limites et conditions d'exploitation</w:t>
            </w:r>
          </w:p>
          <w:p>
            <w:pPr>
              <w:spacing w:before="0" w:after="0"/>
              <w:ind w:left="45"/>
              <w:jc w:val="left"/>
            </w:pPr>
            <w:r>
              <w:rPr>
                <w:rFonts w:ascii="Arial" w:hAnsi="Arial"/>
                <w:b w:val="false"/>
                <w:i w:val="false"/>
                <w:color w:val="333333"/>
                <w:sz w:val="18"/>
              </w:rPr>
              <w:t>Les limites et conditions d'exploitation doivent dans tous les cas considérer: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(température, conditions physico-chimiques, sous-pression, niveau de radiation,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effets de la production de chaleur tant sur le combustible nucléaire usé ou les colis de déchets radioactifs que sur l'installation d'entreposage elle-même;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formation éventuelle de gaz par le combustible nucléaire usé ou les colis de déchets radioactifs, plus particulièrement le risque d'incendie et d'explosion, le risque de déformations et les aspects de radioprotection y associés;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prévention de la criticité en ce qui concerne tant le combustible nucléaire usé ou les colis de déchets, que l'installation d'entreposage dans son ensemble;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capacité du combustible nucléaire usé ou des colis de déchets radioactifs à être manutentionnés et évacués de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Uitbatingslimieten en voorwaarden</w:t>
            </w:r>
          </w:p>
          <w:p>
            <w:pPr>
              <w:spacing w:before="0" w:after="0"/>
              <w:ind w:left="45"/>
              <w:jc w:val="left"/>
            </w:pPr>
            <w:r>
              <w:rPr>
                <w:rFonts w:ascii="Arial" w:hAnsi="Arial"/>
                <w:b w:val="false"/>
                <w:i w:val="false"/>
                <w:color w:val="333333"/>
                <w:sz w:val="18"/>
              </w:rPr>
              <w:t>De uitbatingslimieten en -voorwaarden moeten in elk geval rekening houden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(temperatuur, fysico-chemische omstandigheden, onderdruk, stralingsniveau,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effecten van de warmteontwikkeling, op zowel de verbruikte kernbrandstof of op de colli met radioactief afval, als op de opslaginstallatie zelf;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gebeurlijke gasvorming door verbruikte kernbrandstof of door colli met radioactief afval, meer bepaald het brand- en ontploffingsrisico, het risico op vervormingen en de hierbij horende aspecten van stralingsbescherming;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preventie van de kritikaliteit voor wat betreft de verbruikte kernbrandstof of de colli met radioactief afval, evenals van de opslaginstallatie in zijn geheel;</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geschiktheid voor manutentie en verwijdering uit de opslaginstallatie van verbruikte kernbrandstof of colli met radioactief afval.</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