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Conception et réalisation</w:t>
            </w:r>
          </w:p>
          <w:p>
            <w:pPr>
              <w:spacing w:before="60" w:after="60"/>
              <w:ind w:left="45"/>
              <w:jc w:val="left"/>
            </w:pPr>
            <w:r>
              <w:rPr>
                <w:rFonts w:ascii="Arial" w:hAnsi="Arial"/>
                <w:b w:val="false"/>
                <w:i w:val="false"/>
                <w:color w:val="333333"/>
                <w:sz w:val="18"/>
              </w:rPr>
              <w:t>La durée de vie de l'installation d'entreposage, pendant laquelle la sûreté doit rester garantie, doit être définie et justifiée à sa conception.</w:t>
            </w:r>
          </w:p>
          <w:p>
            <w:pPr>
              <w:spacing w:before="60" w:after="60"/>
              <w:ind w:left="45"/>
              <w:jc w:val="left"/>
            </w:pPr>
            <w:r>
              <w:rPr>
                <w:rFonts w:ascii="Arial" w:hAnsi="Arial"/>
                <w:b w:val="false"/>
                <w:i w:val="false"/>
                <w:color w:val="333333"/>
                <w:sz w:val="18"/>
              </w:rPr>
              <w:t>La sûreté de l'installation d'entreposage doit reposer sur des moyens fiables et, autant que raisonnablement possible reposer sur des moyens passifs.</w:t>
            </w:r>
          </w:p>
          <w:p>
            <w:pPr>
              <w:spacing w:before="60" w:after="60"/>
              <w:ind w:left="45"/>
              <w:jc w:val="left"/>
            </w:pPr>
            <w:r>
              <w:rPr>
                <w:rFonts w:ascii="Arial" w:hAnsi="Arial"/>
                <w:b w:val="false"/>
                <w:i w:val="false"/>
                <w:color w:val="333333"/>
                <w:sz w:val="18"/>
              </w:rPr>
              <w:t>La sous-criticité doit être garantie et ceci autant que raisonnablement possible par des mesures de conception de l'installation. Si un taux de combustion (burnup) du combustible nucléaire usé est pris en compte, la conformité avec le niveau limite de ce taux devra être vérifiée tant par des contrôles administratifs que par des contrôles opérationnels adéquats.</w:t>
            </w:r>
          </w:p>
          <w:p>
            <w:pPr>
              <w:spacing w:before="0" w:after="0"/>
              <w:ind w:left="45"/>
              <w:jc w:val="left"/>
            </w:pPr>
            <w:r>
              <w:rPr>
                <w:rFonts w:ascii="Arial" w:hAnsi="Arial"/>
                <w:b w:val="false"/>
                <w:i w:val="false"/>
                <w:color w:val="333333"/>
                <w:sz w:val="18"/>
              </w:rPr>
              <w:t>L'équipement de manutention du combustible nucléaire usé ou des colis de déchets radioactifs doit être conçu et réalisé de sorte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satisfaire aux exigences de radioprotection;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faciliter la maintenance et la réparation;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réduire le plus possible la probabilité de survenance d'incidents et d'accidents;</w:t>
            </w:r>
          </w:p>
          <w:p>
            <w:pPr>
              <w:spacing w:before="0" w:after="0"/>
              <w:ind w:left="390"/>
              <w:jc w:val="left"/>
            </w:pPr>
            <w:r>
              <w:rPr>
                <w:rFonts w:ascii="Arial" w:hAnsi="Arial"/>
                <w:b w:val="false"/>
                <w:i w:val="false"/>
                <w:color w:val="333333"/>
                <w:sz w:val="18"/>
              </w:rPr>
              <w:t>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à limiter les conséquences des incidents et des accidents.</w:t>
            </w:r>
          </w:p>
          <w:p>
            <w:pPr>
              <w:spacing w:before="60" w:after="60"/>
              <w:ind w:left="45"/>
              <w:jc w:val="left"/>
            </w:pPr>
            <w:r>
              <w:rPr>
                <w:rFonts w:ascii="Arial" w:hAnsi="Arial"/>
                <w:b w:val="false"/>
                <w:i w:val="false"/>
                <w:color w:val="333333"/>
                <w:sz w:val="18"/>
              </w:rPr>
              <w:t>L'installation d'entreposage doit être conçue de manière à permettre l'inspection du combustible nucléaire usé ou des colis de déchets radioactifs pour en vérifier l'intégrité.</w:t>
            </w:r>
          </w:p>
          <w:p>
            <w:pPr>
              <w:spacing w:before="0" w:after="0"/>
              <w:ind w:left="45"/>
              <w:jc w:val="left"/>
            </w:pPr>
            <w:r>
              <w:rPr>
                <w:rFonts w:ascii="Arial" w:hAnsi="Arial"/>
                <w:b w:val="false"/>
                <w:i w:val="false"/>
                <w:color w:val="333333"/>
                <w:sz w:val="18"/>
              </w:rPr>
              <w:t>L'installation d'entreposage doit être conçue de manière à pouvoir évacuer dans un délai raisonnable le combustible nucléaire usé ou les colis de déchets radioactifs à la fin de leur période d'entreposage ainsi que dans le cadre d'une intervention: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raison d'écarts par rapport aux critères de conformité; 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suite à des incidents de fonctionnement prévus.</w:t>
            </w:r>
          </w:p>
          <w:p>
            <w:pPr>
              <w:spacing w:before="0" w:after="0"/>
              <w:ind w:left="45"/>
              <w:jc w:val="left"/>
            </w:pPr>
            <w:r>
              <w:rPr>
                <w:rFonts w:ascii="Arial" w:hAnsi="Arial"/>
                <w:b w:val="false"/>
                <w:i w:val="false"/>
                <w:color w:val="333333"/>
                <w:sz w:val="18"/>
              </w:rPr>
              <w:t>L'exploitant spécifie et justifie un taux nominal prédéfini d'utilisation de ses installations d'entreposage en conditions d'exploitation normale, de manière à avoir une capacité d'entreposage supplémentaire disponible afin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cas échéant, les déchets radioactifs puissent être déplacés pour permettre des contrôles, des travaux de maintenance ou de réparation ainsi que tout autre opération prévue;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 problèmes d'évacuation des déchets hors de l'établissement ou d'indisponibilité des installations de traitement sur site ou hors site, des conditions d'entreposage peu sûres ne puissent être créées pour la poursuite de l'exploitation normale au sein de l'établissement.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Ontwerp en realisatie</w:t>
            </w:r>
          </w:p>
          <w:p>
            <w:pPr>
              <w:spacing w:before="60" w:after="60"/>
              <w:ind w:left="45"/>
              <w:jc w:val="left"/>
            </w:pPr>
            <w:r>
              <w:rPr>
                <w:rFonts w:ascii="Arial" w:hAnsi="Arial"/>
                <w:b w:val="false"/>
                <w:i w:val="false"/>
                <w:color w:val="333333"/>
                <w:sz w:val="18"/>
              </w:rPr>
              <w:t>De levensduur van de opslaginstallatie, gedurende dewelke de veiligheid moet gegarandeerd blijven, moet van bij het ontwerp bepaald en gerechtvaardigd worden.</w:t>
            </w:r>
          </w:p>
          <w:p>
            <w:pPr>
              <w:spacing w:before="60" w:after="60"/>
              <w:ind w:left="45"/>
              <w:jc w:val="left"/>
            </w:pPr>
            <w:r>
              <w:rPr>
                <w:rFonts w:ascii="Arial" w:hAnsi="Arial"/>
                <w:b w:val="false"/>
                <w:i w:val="false"/>
                <w:color w:val="333333"/>
                <w:sz w:val="18"/>
              </w:rPr>
              <w:t>De veiligheid van de opslaginstallatie moet gebaseerd zijn op betrouwbare middelen en, zo veel als redelijkerwijze mogelijk gebaseerd zijn op passieve middelen.</w:t>
            </w:r>
          </w:p>
          <w:p>
            <w:pPr>
              <w:spacing w:before="60" w:after="60"/>
              <w:ind w:left="45"/>
              <w:jc w:val="left"/>
            </w:pPr>
            <w:r>
              <w:rPr>
                <w:rFonts w:ascii="Arial" w:hAnsi="Arial"/>
                <w:b w:val="false"/>
                <w:i w:val="false"/>
                <w:color w:val="333333"/>
                <w:sz w:val="18"/>
              </w:rPr>
              <w:t>De subkritikaliteit moet gegarandeerd worden en dit zo veel als redelijkerwijze mogelijk door ontwerpmaatregelen van de installatie. Indien rekening wordt gehouden met een opbrand (burnup) van de verbruikte kernbrandstof, dan zal de conformiteit met de opbrandlimiet door adequate administratieve en operationele controles geverifieerd worden.</w:t>
            </w:r>
          </w:p>
          <w:p>
            <w:pPr>
              <w:spacing w:before="0" w:after="0"/>
              <w:ind w:left="45"/>
              <w:jc w:val="left"/>
            </w:pPr>
            <w:r>
              <w:rPr>
                <w:rFonts w:ascii="Arial" w:hAnsi="Arial"/>
                <w:b w:val="false"/>
                <w:i w:val="false"/>
                <w:color w:val="333333"/>
                <w:sz w:val="18"/>
              </w:rPr>
              <w:t>De uitrusting voor de manutentie van de verbruikte kernbrandstof of van de colli met radioactief afval moet zodanig ontworpen en geconstrueerd zijn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voldaan aan de vereisten inzake stralingsbescherming;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onderhoud en het herstel worden vergemakkelijkt;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waarschijnlijkheid van incidenten en ongevallen zo veel mogelijk wordt beperkt;</w:t>
            </w:r>
          </w:p>
          <w:p>
            <w:pPr>
              <w:spacing w:before="0" w:after="0"/>
              <w:ind w:left="390"/>
              <w:jc w:val="left"/>
            </w:pPr>
            <w:r>
              <w:rPr>
                <w:rFonts w:ascii="Arial" w:hAnsi="Arial"/>
                <w:b w:val="false"/>
                <w:i w:val="false"/>
                <w:color w:val="333333"/>
                <w:sz w:val="18"/>
              </w:rPr>
              <w: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gevolgen van de incidenten en ongevallen worden beperkt.</w:t>
            </w:r>
          </w:p>
          <w:p>
            <w:pPr>
              <w:spacing w:before="60" w:after="60"/>
              <w:ind w:left="45"/>
              <w:jc w:val="left"/>
            </w:pPr>
            <w:r>
              <w:rPr>
                <w:rFonts w:ascii="Arial" w:hAnsi="Arial"/>
                <w:b w:val="false"/>
                <w:i w:val="false"/>
                <w:color w:val="333333"/>
                <w:sz w:val="18"/>
              </w:rPr>
              <w:t>De opslaginstallatie moet zodanig ontworpen zijn dat de inspectie van de verbruikte kernbrandstof of de colli met radioactief afval mogelijk is om hun integriteit te kunnen verifiëren.</w:t>
            </w:r>
          </w:p>
          <w:p>
            <w:pPr>
              <w:spacing w:before="0" w:after="0"/>
              <w:ind w:left="45"/>
              <w:jc w:val="left"/>
            </w:pPr>
            <w:r>
              <w:rPr>
                <w:rFonts w:ascii="Arial" w:hAnsi="Arial"/>
                <w:b w:val="false"/>
                <w:i w:val="false"/>
                <w:color w:val="333333"/>
                <w:sz w:val="18"/>
              </w:rPr>
              <w:t>De opslaginstallatie moet zodanig ontworpen zijn dat de verbruikte kernbrandstof of de colli met radioactief afval binnen een redelijke termijn uit de opslaginstallatie kunnen worden gehaald op het einde van de opslagperiode, evenals in het kader van een tussenkomst: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ten gevolge van afwijkingen ten opzichte van de conformiteitscriteria; 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na te voorziene bedrijfsincidenten.</w:t>
            </w:r>
          </w:p>
          <w:p>
            <w:pPr>
              <w:spacing w:before="0" w:after="0"/>
              <w:ind w:left="45"/>
              <w:jc w:val="left"/>
            </w:pPr>
            <w:r>
              <w:rPr>
                <w:rFonts w:ascii="Arial" w:hAnsi="Arial"/>
                <w:b w:val="false"/>
                <w:i w:val="false"/>
                <w:color w:val="333333"/>
                <w:sz w:val="18"/>
              </w:rPr>
              <w:t>De exploitant specificeert en rechtvaardigt een vooropgestelde nominale benuttingsgraad van de opslaginstallaties in normale uitbatingsomstandigheden, teneinde een aanvullende opslagcapaciteit beschikbaar te hebben zodat: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waar van toepassing, de radioactieve afvalstoffen verplaatst kunnen worden voor controles, onderhouds- of herstellingswerken, evenals voor andere te voorziene handelingen;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problemen van afvoer van de afvalstoffen uit de inrichting, of door onbeschikbaarheid van verwerkingsinstallaties op of buiten de site, geen onveilige opslagcondities zouden kunnen gecreëerd worden bij het voortzetten van de normale exploitatie binnen de inrichting.</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