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Vergunningsstelsel van de inrichtingen van klasse 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 Overheid bevoegd voor het verlenen van de vergunning </w:t>
            </w:r>
          </w:p>
          <w:p>
            <w:pPr>
              <w:spacing w:before="60" w:after="60"/>
              <w:ind w:left="45"/>
              <w:jc w:val="left"/>
            </w:pPr>
            <w:r>
              <w:rPr>
                <w:rFonts w:ascii="Arial" w:hAnsi="Arial"/>
                <w:b w:val="false"/>
                <w:i w:val="false"/>
                <w:color w:val="333333"/>
                <w:sz w:val="18"/>
              </w:rPr>
              <w:t>Overeenkomstig artikel 16 § 1 van de wet van 15 april 1994 moeten de inrichtingen van klasse I een oprichtings- en exploitatievergunning hebben, die door de Koning wordt verleend en bevestigd.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 Milieueffectbeoordeling inzake ioniserende stralingen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6.1bis.1 Toepassingsgebied </w:t>
            </w:r>
          </w:p>
          <w:p>
            <w:pPr>
              <w:spacing w:before="0" w:after="0"/>
              <w:ind w:left="45"/>
              <w:jc w:val="left"/>
            </w:pPr>
            <w:r>
              <w:rPr>
                <w:rFonts w:ascii="Arial" w:hAnsi="Arial"/>
                <w:b w:val="false"/>
                <w:i w:val="false"/>
                <w:color w:val="333333"/>
                <w:sz w:val="18"/>
              </w:rPr>
              <w:t>De volgende projecten worden onderworpen aan een milieueffectbeoordelingsrapport: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projecten die voorkomen in bijlage 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projecten die voorkomen in bijlage XI en waarvan het Agentschap na een screening oordeelt dat er ingevolge het project aanzienlijke milieueffecten inzake ioniserende stralingen te verwachten zijn of kunnen verwacht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6.1bis.2 Vrijstelling van de bepalingen inzake de milieueffectbeoordeling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 de in artikel 27/8 van de Wet van 15 april 1994 bedoelde gevallen, kan de opdrachtgever een verzoek tot vrijstelling van de bepalingen inzake de milieueffectbeoordeling voor een project of een onderdeel hiervan richten aan het Agentschap.</w:t>
            </w:r>
          </w:p>
          <w:p>
            <w:pPr>
              <w:spacing w:before="0" w:after="0"/>
              <w:ind w:left="45"/>
              <w:jc w:val="left"/>
            </w:pPr>
            <w:r>
              <w:rPr>
                <w:rFonts w:ascii="Arial" w:hAnsi="Arial"/>
                <w:b w:val="false"/>
                <w:i w:val="false"/>
                <w:color w:val="333333"/>
                <w:sz w:val="18"/>
              </w:rPr>
              <w:t>Het verzoek tot vrijstelling bevat in elk geval:</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 voor zover er informatie over deze effecten beschikbaar is – van waarschijnlijk aanzienlijke milieueffecten van het project;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argumenten/redenen waarom een vrijstelling van de bepalingen inzake de milieueffectbeoordeling wordt gevraagd;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gegevens die zijn verzameld door andere vormen van beoordeling van de milieueffecten.</w:t>
            </w:r>
          </w:p>
          <w:p>
            <w:pPr>
              <w:spacing w:before="60" w:after="60"/>
              <w:ind w:left="45"/>
              <w:jc w:val="left"/>
            </w:pPr>
            <w:r>
              <w:rPr>
                <w:rFonts w:ascii="Arial" w:hAnsi="Arial"/>
                <w:b w:val="false"/>
                <w:i w:val="false"/>
                <w:color w:val="333333"/>
                <w:sz w:val="18"/>
              </w:rPr>
              <w:t>De opdrachtgever richt zijn verzoek tot vrijstelling op schriftelijke wijze aan het Agentschap. Het verzoek kan voorafgaand aan het indienen van de vergunningsaanvraag aan het Agentschap gericht worden.</w:t>
            </w:r>
          </w:p>
          <w:p>
            <w:pPr>
              <w:spacing w:before="60" w:after="60"/>
              <w:ind w:left="45"/>
              <w:jc w:val="left"/>
            </w:pPr>
            <w:r>
              <w:rPr>
                <w:rFonts w:ascii="Arial" w:hAnsi="Arial"/>
                <w:b w:val="false"/>
                <w:i w:val="false"/>
                <w:color w:val="333333"/>
                <w:sz w:val="18"/>
              </w:rPr>
              <w:t>Indien het Agentschap vaststelt dat het verzoek tot vrijstelling onvolledig is, wordt dit meegedeeld aan de opdrachtgever. De opdrachtgever bezorgt de bijkomende informatie zo spoedig mogelijk aan het Agentschap.</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doet uitspraak over het verzoek tot vrijstelling binnen een termijn van zestig kalenderdagen of binnen een langere periode die het moet rechtvaardigen. Deze termijn gaat in vanaf de ontvangstdatum van het volledige verzoek tot vrijstelling. De gemotiveerde beslissing van het Agentschap wordt per aangetekend schrijven naar de opdrachtgever gestuurd.</w:t>
            </w:r>
          </w:p>
          <w:p>
            <w:pPr>
              <w:spacing w:before="60" w:after="60"/>
              <w:ind w:left="45"/>
              <w:jc w:val="left"/>
            </w:pPr>
            <w:r>
              <w:rPr>
                <w:rFonts w:ascii="Arial" w:hAnsi="Arial"/>
                <w:b w:val="false"/>
                <w:i w:val="false"/>
                <w:color w:val="333333"/>
                <w:sz w:val="18"/>
              </w:rPr>
              <w:t>Indien het Agentschap van oordeel is dat de gevraagde vrijstelling niet kan worden verleend, wordt dit vooraf aan de opdrachtgever meegedeeld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opdrachtgever wenst gebruik te maken van zijn recht om gehoord te worden, dient hij dit uiterlijk op de vijftiende kalenderdag na de kennisgeving schriftelijk kenbaar te maken aan het Agentschap.</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Indien het Agentschap een vrijstellingsbeslissing toekent, wordt deze beslissing door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overeenkomstig artikel 27/8 § 4 van de wet van 15 april 1994 ter inzage van het betrokken publiek bekendgemaakt op de website van het Agentschap;</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overgemaakt aan de Europese Commissie en dit uiterlijk voordat de beslissing over de vergunningsaanvraag wordt genomen.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6.1bis.3 Screening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opdrachtgever stelt voor de projecten bedoeld in bijlage XI een screeningsnota op overeenkomstig het modelformulier in bijlage XII en bezorgt deze aan het Agentschap.</w:t>
            </w:r>
          </w:p>
          <w:p>
            <w:pPr>
              <w:spacing w:before="60" w:after="60"/>
              <w:ind w:left="45"/>
              <w:jc w:val="left"/>
            </w:pPr>
            <w:r>
              <w:rPr>
                <w:rFonts w:ascii="Arial" w:hAnsi="Arial"/>
                <w:b w:val="false"/>
                <w:i w:val="false"/>
                <w:color w:val="333333"/>
                <w:sz w:val="18"/>
              </w:rPr>
              <w:t>De opdrachtgever houdt, voor zover relevant, rekening met de beschikbare resultaten van andere relevante beoordelingen van de milieueffecten, die zijn gedaan op grond van andere wetgeving. De opdrachtgever kan tevens een beschrijving verstrekken van kenmerken van het project en van de geplande maatregelen om te vermijden of te voorkomen wat anders wellicht aanzienlijke nadelige milieueffecten zouden zijn geweest.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deelt het oordeel bedoeld in artikel 6.1bis.1, 2° uiterlijk binnen 60 kalenderdagen na ontvangst van de volledige screeningsnota aan de opdrachtgever mee. Het oordeel houdt rekening met de criteria vermeld in bijlage XIII en vermeldt desgevallend de door de opdrachtgever voorgestelde maatregelen om aanzienlijke nadelige milieueffecten te vermijden of te voorkomen.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6.1bis.4 Scopingadvies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opdrachtgever kan voorafgaand aan de opmaak van een milieueffectbeoordelingsrapport aan het Agentschap een scopingadvies vragen.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opdrachtgever richt zijn vraag om een scopingadvies aan het Agentschap op schriftelijke wijze.</w:t>
            </w:r>
          </w:p>
          <w:p>
            <w:pPr>
              <w:spacing w:before="0" w:after="0"/>
              <w:ind w:left="45"/>
              <w:jc w:val="left"/>
            </w:pPr>
            <w:r>
              <w:rPr>
                <w:rFonts w:ascii="Arial" w:hAnsi="Arial"/>
                <w:b w:val="false"/>
                <w:i w:val="false"/>
                <w:color w:val="333333"/>
                <w:sz w:val="18"/>
              </w:rPr>
              <w:t>De opdrachtgever vermeldt in zijn vraag om een scopingadvies in elk geval de volgende informatie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 met inbegrip van de locatie en de technische capaciteit ervan en met inbegrip van een beknopte beschrijving van de overwogen alternatieven voor het project of voor onderdelen ervan;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de te onderzoeken aanzienlijke effecten voor mens en milieu die het project vermoedelijk zal hebben;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 voorkomend geval, alle beschikbare informatie over de mogelijke aanzienlijke land- of gewestgrensoverschrijdende effecten van het project;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Agentschap maakt in de gevallen bedoeld in artikel 27/5 §§ 6 en 7 van de Wet van 15 april 1994 de vraag om een scopingadvies voor advies over aan de adviesinstanties bedoeld in art. 6.3.4 volgens de daarin opgenomen procedure en aan de autoriteiten en gewesten bedoeld in art. 6.4 volgens de daarin opgenomen procedure.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Agentschap baseert zijn scopingadvies op de naar aanleiding van het verzoek van de opdrachtgever verstrekte informatie; het houdt rekening met de resultaten van de advisering en de informatie zoals bedoeld in paragraaf 2 en 3.</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6.1bis.5 Inhoud milieueffect beoordelingsrapport </w:t>
            </w:r>
          </w:p>
          <w:p>
            <w:pPr>
              <w:spacing w:before="0" w:after="0"/>
              <w:ind w:left="45"/>
              <w:jc w:val="left"/>
            </w:pPr>
            <w:r>
              <w:rPr>
                <w:rFonts w:ascii="Arial" w:hAnsi="Arial"/>
                <w:b w:val="false"/>
                <w:i w:val="false"/>
                <w:color w:val="333333"/>
                <w:sz w:val="18"/>
              </w:rPr>
              <w:t>Het milieueffectbeoordelingsrapport bevat in elk geval de volgende informatie: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 met informatie over de locatie, het ontwerp, de omvang en andere relevante kenmerken van het project;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de waarschijnlijk aanzienlijke milieueffecten van het project;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beschrijving van de kenmerken van het project of de geplande maatregelen om de waarschijnlijk aanzienlijke nadelige milieueffecten te vermijden, te voorkomen of te beperken en, indien mogelijk, te compenseren;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de redelijke alternatieven die de opdrachtgever heeft onderzocht, die relevant zijn voor het project en de specifieke kenmerken ervan, met opgave van de belangrijkste motieven voor de gekozen optie, in het licht van de milieueffecten van het de project;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een niet-technische samenvatting van de onder 1° tot en met 4° bedoelde gegevens;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alle in bijlage XIV bedoelde aanvullende informatie die van belang is voor de specifieke kenmerken van een bepaald project of projecttype en voor de milieuaspecten die hierdoor kunnen worden beïnvloed.</w:t>
            </w:r>
          </w:p>
          <w:p>
            <w:pPr>
              <w:spacing w:before="60" w:after="60"/>
              <w:ind w:left="45"/>
              <w:jc w:val="left"/>
            </w:pPr>
            <w:r>
              <w:rPr>
                <w:rFonts w:ascii="Arial" w:hAnsi="Arial"/>
                <w:b w:val="false"/>
                <w:i w:val="false"/>
                <w:color w:val="333333"/>
                <w:sz w:val="18"/>
              </w:rPr>
              <w:t>Het milieueffectbeoordelingsrapport waarvoor een scopingadvies werd uitgebracht, houdt rekening met het scopingadvies en bevat de informatie die redelijkerwijs mag worden vereist om, rekening houdend met de bestaande kennis en beoordelingsmethodes, tot een gemotiveerde conclusie over de aanzienlijke milieueffecten van het project te komen.</w:t>
            </w:r>
          </w:p>
          <w:p>
            <w:pPr>
              <w:spacing w:before="60" w:after="60"/>
              <w:ind w:left="45"/>
              <w:jc w:val="left"/>
            </w:pPr>
            <w:r>
              <w:rPr>
                <w:rFonts w:ascii="Arial" w:hAnsi="Arial"/>
                <w:b w:val="false"/>
                <w:i w:val="false"/>
                <w:color w:val="333333"/>
                <w:sz w:val="18"/>
              </w:rPr>
              <w:t>De opdrachtgever houdt bij het opstellen van het milieueffectbeoordelingsrapport rekening met de beschikbare resultaten van andere relevante beoordelingen die zijn uitgevoerd met toepassing van de Wet van 15 april 1994 en dit reglement of andere gewestelijke, federale of Europese Uniewetgeving.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6.1bis.6 Voorafgaande beoordeling Milieueffectbeoordelingsrapport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de opdrachtgever overeenkomstig art. 27/6 van de wet van 15 april 1994 voorafgaand aan de vergunningsaanvraag het Agentschap verzoekt om de beoordeling van het ontwerp van milieueffectbeoordelingsrapport, maakt hij zijn verzoek samen met het ontwerp van milieueffectbeoordelingsrapport over aan het Agentschap in afdrukbare digitale vorm.</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onderwerpt het ontwerp van milieueffectbeoordelingsrapport aan een openbaar onderzoek volgens de procedure voorzien in artikel 6.3.3.</w:t>
            </w:r>
          </w:p>
          <w:p>
            <w:pPr>
              <w:spacing w:before="0" w:after="0"/>
              <w:ind w:left="45"/>
              <w:jc w:val="left"/>
            </w:pPr>
            <w:r>
              <w:rPr>
                <w:rFonts w:ascii="Arial" w:hAnsi="Arial"/>
                <w:b w:val="false"/>
                <w:i w:val="false"/>
                <w:color w:val="333333"/>
                <w:sz w:val="18"/>
              </w:rPr>
              <w:t>Gelijktijdig wordt het ontwerp van milieueffectbeoordelingsrapport voor advies overgemaakt: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aan de adviesinstanties bedoeld in artikel 6.3.4 volgens de in dat artikel opgenomen procedure, 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het Agentschap vaststelt dat er mogelijk aanzienlijke land-of gewestgrensoverschrijdende effecten zijn zoals bedoeld in artikel 27/5 § 6 van de Wet van 15 april 1994, aan de bevoegde autoriteiten van de lidstaten van de Europese Unie, de verdragspartij bij het Verdrag inzake milieueffectrapportage in grensoverschrijdend verband ondertekend te Espoo op 25 februari 1991 en de betrokken gewesten volgens de procedure bedoeld in artikel 6.4.</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Het Agentschap keurt het ontwerp van milieueffectbeoordelingsrapport goed of af en houdt hierbij rekening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resultaten van het openbaar onderzoek uitgevoerd overeenkomstig 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adviezen van de adviesinstanties vermeld in 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van toepassing, de land- of gewestgrensoverschrijdende raadpleging overeenkomstig art. 6.4.</w:t>
            </w:r>
          </w:p>
          <w:p>
            <w:pPr>
              <w:spacing w:before="60" w:after="60"/>
              <w:ind w:left="45"/>
              <w:jc w:val="left"/>
            </w:pPr>
            <w:r>
              <w:rPr>
                <w:rFonts w:ascii="Arial" w:hAnsi="Arial"/>
                <w:b w:val="false"/>
                <w:i w:val="false"/>
                <w:color w:val="333333"/>
                <w:sz w:val="18"/>
              </w:rPr>
              <w:t>Indien het Agentschap van oordeel is dat er door de opdrachtgever monitoringsmaatregelen dienen te worden nageleefd, worden deze opgenomen in de beslissing van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6.2 Te verstrekken inlichtingen en bescheiden </w:t>
            </w:r>
          </w:p>
          <w:p>
            <w:pPr>
              <w:spacing w:before="60" w:after="60"/>
              <w:ind w:left="45"/>
              <w:jc w:val="left"/>
            </w:pPr>
            <w:r>
              <w:rPr>
                <w:rFonts w:ascii="Arial" w:hAnsi="Arial"/>
                <w:b w:val="false"/>
                <w:i w:val="false"/>
                <w:color w:val="333333"/>
                <w:sz w:val="18"/>
              </w:rPr>
              <w:t>De vergunningsaanvraag wordt in afdrukbare digitale vorm gericht aan het Agentschap, nadat ze werd onderzocht en goedgekeurd door een deskundige erkend in de fysische controle van klasse I.</w:t>
            </w:r>
          </w:p>
          <w:p>
            <w:pPr>
              <w:spacing w:before="0" w:after="0"/>
              <w:ind w:left="45"/>
              <w:jc w:val="left"/>
            </w:pPr>
            <w:r>
              <w:rPr>
                <w:rFonts w:ascii="Arial" w:hAnsi="Arial"/>
                <w:b w:val="false"/>
                <w:i w:val="false"/>
                <w:color w:val="333333"/>
                <w:sz w:val="18"/>
              </w:rPr>
              <w:t>Tenzij deze informatie al eerder werd ingediend en nog actueel is, omvat de vergunningsaanvraag: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volgende administratieve inlichtingen: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Naam, voornaam en hoedanigheid van de aanvrager;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Identificatie van de exploitant: maatschappelijke benaming van de onderneming, haar maatschappelijke, administratieve en exploitatiezetels, de namen en voornamen van de bestuurders of zaakvoerders;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Beschrijving van het organisatievermogen en de menselijke vaardigheden/mankracht van de exploitant om de veilige uitbating van de installatie te waarborgen;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voorlopig veiligheidsrapport, dat voldoet aan de voorwaarden van artikel 13 van het Koninklijk besluit van 30 november 2011 houdende veiligheidsvoorschriften voor kerninstallaties en waarin in elk geval de volgende onderwerpen worden behandeld: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Inleiding en context;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Algemene beschrijving van de site, de installatie, de normale werking en de veiligheid, beknopte beschrijving van de belangrijkste kringen (vloeistofkring, elektrische kring) en het regelsysteem; de aard en hoeveelheden van radioactieve stoffen die worden aangewend;</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Gedetailleerde beschrijving van de site:</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een topografisch overzicht van het gebied dat zich binnen een straal van 500 m rond de inrichting bevindt, alsook de aanwijzingen m.b.t. de bevolkingsdichtheid binnen deze perimeter;</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geologie, seismologie, hydrologie, meteorologie, klimatologie en andere relevante natuurlijke kenmerken;</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economische activiteiten, inclusief de landbouw, verkeerswegen en andere relevante aspecten m.b.t. de menselijke activiteiten;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Algemene aspecten van het ontwerp en essentiële veiligheidsdoelstellingen, beschrijving van de gelaagde bescherming;</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Gedetailleerde beschrijving van de veiligheidsfuncties en van de voor de nucleaire veiligheid belangrijke structuren, systemen en componenten met hun ontwerpbases en hun werking in alle toestanden van de installatie (normale werking, stilstand, incident- en ongevalsomstandigheden);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Codes en normen die van toepassing zijn op de installatie en de voor de nucleaire veiligheid belangrijke structuren, systemen en componenten;</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Veiligheidsdemonstratie:</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deterministische analyses die aantonen dat de veiligheidscriteria en de limieten voor de radiologische gevolgen worden nageleefd, met inbegrip van een beschrijving van de marges,</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probabilistische voorlopige veiligheidsanalyses voor de in de artikelen 3.1. a), 1° bedoelde inrichtingen.</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Organisatie van de uitbating en beschrijving van het managementsysteem;</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Operationele aspecten, met inbegrip van:</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de beschrijving van de doelstellingen van de procedures die na een ongeval moeten worden gevolgd,</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de principes voor het onderhoud, de tests en inspecties,</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de kwalificatie en de opleiding van het personeel,</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de principes van het verouderingsbeheer.</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Belangrijkste uitbatingslimieten en –voorwaarden met hun technische rechtvaardiging;</w:t>
            </w:r>
          </w:p>
          <w:p>
            <w:pPr>
              <w:spacing w:before="0" w:after="0"/>
              <w:ind w:left="435"/>
              <w:jc w:val="left"/>
            </w:pPr>
            <w:r>
              <w:rPr>
                <w:rFonts w:ascii="Arial" w:hAnsi="Arial"/>
                <w:b w:val="false"/>
                <w:i w:val="false"/>
                <w:color w:val="333333"/>
                <w:sz w:val="18"/>
              </w:rPr>
              <w:t>k)</w:t>
            </w:r>
          </w:p>
          <w:p>
            <w:pPr>
              <w:spacing w:before="0" w:after="0"/>
              <w:ind w:left="735"/>
              <w:jc w:val="left"/>
            </w:pPr>
            <w:r>
              <w:rPr>
                <w:rFonts w:ascii="Arial" w:hAnsi="Arial"/>
                <w:b w:val="false"/>
                <w:i w:val="false"/>
                <w:color w:val="333333"/>
                <w:sz w:val="18"/>
              </w:rPr>
              <w:t>Beschrijving van de stralingsbescherming, inclusief de maatregelen en middelen die worden aangewend om de naleving van de basisnormen bepaald in hoofdstuk III te waarborgen;</w:t>
            </w:r>
          </w:p>
          <w:p>
            <w:pPr>
              <w:spacing w:before="0" w:after="0"/>
              <w:ind w:left="435"/>
              <w:jc w:val="left"/>
            </w:pPr>
            <w:r>
              <w:rPr>
                <w:rFonts w:ascii="Arial" w:hAnsi="Arial"/>
                <w:b w:val="false"/>
                <w:i w:val="false"/>
                <w:color w:val="333333"/>
                <w:sz w:val="18"/>
              </w:rPr>
              <w:t>l)</w:t>
            </w:r>
          </w:p>
          <w:p>
            <w:pPr>
              <w:spacing w:before="0" w:after="0"/>
              <w:ind w:left="735"/>
              <w:jc w:val="left"/>
            </w:pPr>
            <w:r>
              <w:rPr>
                <w:rFonts w:ascii="Arial" w:hAnsi="Arial"/>
                <w:b w:val="false"/>
                <w:i w:val="false"/>
                <w:color w:val="333333"/>
                <w:sz w:val="18"/>
              </w:rPr>
              <w:t>Radioactieve lozingen in normale en ongevalsomstandigheden en de voorziene operationele limieten; een voorstel van een programma voor het toezicht op het leefmilieu op en buiten de site;</w:t>
            </w:r>
          </w:p>
          <w:p>
            <w:pPr>
              <w:spacing w:before="0" w:after="0"/>
              <w:ind w:left="435"/>
              <w:jc w:val="left"/>
            </w:pPr>
            <w:r>
              <w:rPr>
                <w:rFonts w:ascii="Arial" w:hAnsi="Arial"/>
                <w:b w:val="false"/>
                <w:i w:val="false"/>
                <w:color w:val="333333"/>
                <w:sz w:val="18"/>
              </w:rPr>
              <w:t>m)</w:t>
            </w:r>
          </w:p>
          <w:p>
            <w:pPr>
              <w:spacing w:before="0" w:after="0"/>
              <w:ind w:left="735"/>
              <w:jc w:val="left"/>
            </w:pPr>
            <w:r>
              <w:rPr>
                <w:rFonts w:ascii="Arial" w:hAnsi="Arial"/>
                <w:b w:val="false"/>
                <w:i w:val="false"/>
                <w:color w:val="333333"/>
                <w:sz w:val="18"/>
              </w:rPr>
              <w:t>Voorbereiding op noodsituaties: acties op siteniveau en verbinding/coördinatie met externe organisaties;</w:t>
            </w:r>
          </w:p>
          <w:p>
            <w:pPr>
              <w:spacing w:before="0" w:after="0"/>
              <w:ind w:left="435"/>
              <w:jc w:val="left"/>
            </w:pPr>
            <w:r>
              <w:rPr>
                <w:rFonts w:ascii="Arial" w:hAnsi="Arial"/>
                <w:b w:val="false"/>
                <w:i w:val="false"/>
                <w:color w:val="333333"/>
                <w:sz w:val="18"/>
              </w:rPr>
              <w:t>n)</w:t>
            </w:r>
          </w:p>
          <w:p>
            <w:pPr>
              <w:spacing w:before="0" w:after="0"/>
              <w:ind w:left="735"/>
              <w:jc w:val="left"/>
            </w:pPr>
            <w:r>
              <w:rPr>
                <w:rFonts w:ascii="Arial" w:hAnsi="Arial"/>
                <w:b w:val="false"/>
                <w:i w:val="false"/>
                <w:color w:val="333333"/>
                <w:sz w:val="18"/>
              </w:rPr>
              <w:t>Het deeldossier radioactief afval en het deeldossier ontmanteling, bedoeld in artikel 5.8.</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beschrijving van de planning en de fases voor de bouw van de inrichting en de vervaardiging van haar componenten, met inbegrip van holdpoints en witnesspoints door de exploitant;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de planning en de principes van het test- en controleprogramma in het kader van de oplevering van de inrichting;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verbintenis om een verzekeringspolis te zullen afsluiten om de burgerlijke aansprakelijkheid te dekken die uit nucleaire activiteiten voortspruit;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beslissing over de vrijstelling van de bepalingen inzake de milieueffectbeoordeling, zoals bedoeld in artikel 6.1bis.2;</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overeenkomstig art. 6.1bis.1, een milieueffectbeoordelingsrapport of een screeningsnota, samen met het oordeel van het Agentschap bedoeld in artikel 6.1bis.3”, § 2;</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Indien artikel 37 van EURATOM verdrag van toepassing is, een nota met de “algemene gegevens” zoals bepaald in de aanbeveling 2010/635/Euratom van de Europese Commissie van 11 oktober 2010 betreffende de toepassing van artikel 37 van het Euratom-Verdrag.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 Voorafgaande raadplegingen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6.3.1 Veiligheidsevaluatie van het Agentschap, advies van NIRAS en voorlopig voorafgaand advies van de Wetenschappelijke Raad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het Agentschap vaststelt dat de ingediende vergunningsaanvraag onvolledig is, wordt dit meegedeeld aan de aanvrager. De aanvrager bezorgt de bijkomende vereiste informatie zo spoedig mogelijk aan het Agentschap.</w:t>
            </w:r>
          </w:p>
          <w:p>
            <w:pPr>
              <w:spacing w:before="0" w:after="0"/>
              <w:ind w:left="45"/>
              <w:jc w:val="left"/>
            </w:pPr>
            <w:r>
              <w:rPr>
                <w:rFonts w:ascii="Arial" w:hAnsi="Arial"/>
                <w:b w:val="false"/>
                <w:i w:val="false"/>
                <w:color w:val="333333"/>
                <w:sz w:val="18"/>
              </w:rPr>
              <w:t>Na de volledigverklaring van de vergunningsaanvraag: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voert het Agentschap een onafhankelijke veiligheidsevaluatie uit;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maakt het Agentschap de deeldossiers radioactieve afvalstoffen en ontmanteling over aan NIRAS met de vraag om hierover een advies te geven.</w:t>
            </w:r>
          </w:p>
          <w:p>
            <w:pPr>
              <w:spacing w:before="60" w:after="60"/>
              <w:ind w:left="45"/>
              <w:jc w:val="left"/>
            </w:pPr>
            <w:r>
              <w:rPr>
                <w:rFonts w:ascii="Arial" w:hAnsi="Arial"/>
                <w:b w:val="false"/>
                <w:i w:val="false"/>
                <w:color w:val="333333"/>
                <w:sz w:val="18"/>
              </w:rPr>
              <w:t>NIRAS beschikt over een termijn van vijftig kalenderdagen, te rekenen vanaf de ontvangst van de deeldossiers, om haar gemotiveerd advies inzake de aspecten die betrekking hebben op haar bevoegdheden, aan het Agentschap mede te delen, of een langere termijn waarvan de rechtvaardiging door het Agentschap goedgekeurd is.</w:t>
            </w:r>
          </w:p>
          <w:p>
            <w:pPr>
              <w:spacing w:before="60" w:after="60"/>
              <w:ind w:left="45"/>
              <w:jc w:val="left"/>
            </w:pPr>
            <w:r>
              <w:rPr>
                <w:rFonts w:ascii="Arial" w:hAnsi="Arial"/>
                <w:b w:val="false"/>
                <w:i w:val="false"/>
                <w:color w:val="333333"/>
                <w:sz w:val="18"/>
              </w:rPr>
              <w:t>Wanneer NIRAS binnen de voorziene termijn geen advies verleent, wordt aangenomen dat de geplande inrichting wat haar betreft geen aanleiding geeft tot opmerkingen.</w:t>
            </w:r>
          </w:p>
          <w:p>
            <w:pPr>
              <w:spacing w:before="60" w:after="60"/>
              <w:ind w:left="45"/>
              <w:jc w:val="left"/>
            </w:pPr>
            <w:r>
              <w:rPr>
                <w:rFonts w:ascii="Arial" w:hAnsi="Arial"/>
                <w:b w:val="false"/>
                <w:i w:val="false"/>
                <w:color w:val="333333"/>
                <w:sz w:val="18"/>
              </w:rPr>
              <w:t>Na ontvangst van het gemotiveerde advies van NIRAS, of na het verstrijken van de voorziene termijn, en op basis van de veiligheidsevaluatie en haar onderzoek van de vergunningsaanvraag, stelt het Agentschap een verslag op voor de Wetenschappelijke Raad.</w:t>
            </w:r>
          </w:p>
          <w:p>
            <w:pPr>
              <w:spacing w:before="60" w:after="60"/>
              <w:ind w:left="45"/>
              <w:jc w:val="left"/>
            </w:pPr>
            <w:r>
              <w:rPr>
                <w:rFonts w:ascii="Arial" w:hAnsi="Arial"/>
                <w:b w:val="false"/>
                <w:i w:val="false"/>
                <w:color w:val="333333"/>
                <w:sz w:val="18"/>
              </w:rPr>
              <w:t>Het Agentschap maakt het vergunningsdossier, vergezeld met haar verslag en desgevallend met het gemotiveerde advies van NIRAS en de veiligheidsevaluatie, over aan de Wetenschappelijke Raad.</w:t>
            </w:r>
          </w:p>
          <w:p>
            <w:pPr>
              <w:spacing w:before="60" w:after="60"/>
              <w:ind w:left="45"/>
              <w:jc w:val="left"/>
            </w:pPr>
            <w:r>
              <w:rPr>
                <w:rFonts w:ascii="Arial" w:hAnsi="Arial"/>
                <w:b w:val="false"/>
                <w:i w:val="false"/>
                <w:color w:val="333333"/>
                <w:sz w:val="18"/>
              </w:rPr>
              <w:t>De Wetenschappelijk Raad kan eisen dat de aanvrager hem het advies meedeelt van elke nationale, internationale of buitenlandse deskundige of instelling over de algemene of bijzondere aspecten van de veiligheid van de inrichting of de effecten ervan op het milieu. Hij kan dit advies eveneens rechtstreeks inwinnen.</w:t>
            </w:r>
          </w:p>
          <w:p>
            <w:pPr>
              <w:spacing w:before="60" w:after="60"/>
              <w:ind w:left="45"/>
              <w:jc w:val="left"/>
            </w:pPr>
            <w:r>
              <w:rPr>
                <w:rFonts w:ascii="Arial" w:hAnsi="Arial"/>
                <w:b w:val="false"/>
                <w:i w:val="false"/>
                <w:color w:val="333333"/>
                <w:sz w:val="18"/>
              </w:rPr>
              <w:t>De Raad kan de aanvrager oproepen en horen.</w:t>
            </w:r>
          </w:p>
          <w:p>
            <w:pPr>
              <w:spacing w:before="60" w:after="60"/>
              <w:ind w:left="45"/>
              <w:jc w:val="left"/>
            </w:pPr>
            <w:r>
              <w:rPr>
                <w:rFonts w:ascii="Arial" w:hAnsi="Arial"/>
                <w:b w:val="false"/>
                <w:i w:val="false"/>
                <w:color w:val="333333"/>
                <w:sz w:val="18"/>
              </w:rPr>
              <w:t>De Raad verstrekt een voorlopig voorafgaand advies. Indien dit advies gunstig is, kan het bijzondere, niet in dit reglement voorziene voorwaarden omvatten, die de Raad nodig acht om de veiligheid van de inrichting te verzekeren en de effecten ervan op het milieu te beperken.</w:t>
            </w:r>
          </w:p>
          <w:p>
            <w:pPr>
              <w:spacing w:before="60" w:after="60"/>
              <w:ind w:left="45"/>
              <w:jc w:val="left"/>
            </w:pPr>
            <w:r>
              <w:rPr>
                <w:rFonts w:ascii="Arial" w:hAnsi="Arial"/>
                <w:b w:val="false"/>
                <w:i w:val="false"/>
                <w:color w:val="333333"/>
                <w:sz w:val="18"/>
              </w:rPr>
              <w:t>Het Agentschap deelt het voorlopig voorafgaand advies van de Wetenschappelijke Raad bij een ter post aangetekende brief mee aan de aanvrager. De aanvrager beschikt over een periode van dertig kalenderdagen vanaf de kennisgeving om zijn eventuele opmerkingen in te dienen. Op zijn verzoek kan die periode door het Agentschap worden verlengd.</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Van zodra de opdrachtgever heeft laten weten dat hij geen opmerkingen heeft op het voorlopig voorafgaand advies van de Wetenschappelijke Raad, of van zodra hij een, in functie van het voorlopig voorafgaand advies van de Wetenschappelijke Raad, gewijzigd dossier heeft ingediend, of van zodra de termijn van het laatste lid van paragraaf 1 afloopt zonder dat de aanvrager opmerkingen indient, wordt een openbaar onderzoek gestart volgens de procedure beschreven in art. 6.3.3.</w:t>
            </w:r>
          </w:p>
          <w:p>
            <w:pPr>
              <w:spacing w:before="0" w:after="0"/>
              <w:ind w:left="45"/>
              <w:jc w:val="left"/>
            </w:pPr>
            <w:r>
              <w:rPr>
                <w:rFonts w:ascii="Arial" w:hAnsi="Arial"/>
                <w:b w:val="false"/>
                <w:i w:val="false"/>
                <w:color w:val="333333"/>
                <w:sz w:val="18"/>
              </w:rPr>
              <w:t>Gelijktijdig wordt het dossier, bestaande uit de vergunningsaanvraag en het voorafgaand advies van de Wetenschappelijke Raad, voor advies overgemaakt: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aan de adviesinstanties volgens de in artikel 6.3.4 opgenomen procedure;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het Agentschap vaststelt dat er mogelijk aanzienlijke land-of gewestgrensoverschrijdende effecten zijn zoals bedoeld in artikel 27/5, § 6 van de Wet van 15 april 1994, aan de bevoegde autoriteiten van de lidstaten van de Europese Unie, de verdragspartijen bij het Verdrag inzake milieueffectrapportage in grensoverschrijdend verband ondertekend te Espoo op 25 februari 1991 en de betrokken gewesten volgens de procedure bedoeld in artikel 6.4.</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6.3.2 Raadpleging van de Europese Commissie </w:t>
            </w:r>
          </w:p>
          <w:p>
            <w:pPr>
              <w:spacing w:before="60" w:after="60"/>
              <w:ind w:left="45"/>
              <w:jc w:val="left"/>
            </w:pPr>
            <w:r>
              <w:rPr>
                <w:rFonts w:ascii="Arial" w:hAnsi="Arial"/>
                <w:b w:val="false"/>
                <w:i w:val="false"/>
                <w:color w:val="333333"/>
                <w:sz w:val="18"/>
              </w:rPr>
              <w:t>In de gevallen voorzien bij artikel 37 van het Euratom-Verdrag, wint het Agentschap het advies van de Europese Commissie in.</w:t>
            </w:r>
          </w:p>
          <w:p>
            <w:pPr>
              <w:spacing w:before="60" w:after="60"/>
              <w:ind w:left="45"/>
              <w:jc w:val="left"/>
            </w:pPr>
            <w:r>
              <w:rPr>
                <w:rFonts w:ascii="Arial" w:hAnsi="Arial"/>
                <w:b w:val="false"/>
                <w:i w:val="false"/>
                <w:color w:val="333333"/>
                <w:sz w:val="18"/>
              </w:rPr>
              <w:t>De Wetenschappelijke Raad kan de Europese Commissie raadplegen over de algemene of bijzondere aspecten van de veiligheid van de inrichting of de effecten ervan op het milieu.</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6.3.3 Openbaar onderzoek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Gedurende het openbaar onderzoek legt het Agentschap het dossier in fysieke vorm of digitaal ter inzage in haar kantoor. Daarnaast wordt hetzelfde dossier in fysieke vorm of digitaal ter inzage gelegd bij de gemeente waar het voorwerp van de aanvraag is gevestigd.</w:t>
            </w:r>
          </w:p>
          <w:p>
            <w:pPr>
              <w:spacing w:before="60" w:after="60"/>
              <w:ind w:left="45"/>
              <w:jc w:val="left"/>
            </w:pPr>
            <w:r>
              <w:rPr>
                <w:rFonts w:ascii="Arial" w:hAnsi="Arial"/>
                <w:b w:val="false"/>
                <w:i w:val="false"/>
                <w:color w:val="333333"/>
                <w:sz w:val="18"/>
              </w:rPr>
              <w:t>Het dossier wordt door het Agentschap ook digitaal beschikbaar gesteld via de website van het Agentschap.</w:t>
            </w:r>
          </w:p>
          <w:p>
            <w:pPr>
              <w:spacing w:before="60" w:after="60"/>
              <w:ind w:left="45"/>
              <w:jc w:val="left"/>
            </w:pPr>
            <w:r>
              <w:rPr>
                <w:rFonts w:ascii="Arial" w:hAnsi="Arial"/>
                <w:b w:val="false"/>
                <w:i w:val="false"/>
                <w:color w:val="333333"/>
                <w:sz w:val="18"/>
              </w:rPr>
              <w:t>Als het dossier een milieueffectbeoordelingsrapport omvat, behandelt het openbaar onderzoek ook de inhoud van dat rapport, tenzij dit rapport al goedgekeurd en nog actueel is.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Het openbaar onderzoek wordt aangekondigd door: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aanplakking van een affiche aan de exploitatiezetel door de betrokken gemeente;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bekendmaking van een bericht op de website van de gemeenten die zich op een afstand minder dan 5 km van het voorwerp van de aanvraag bevinden;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bekendmaking van een bericht op de website van het Agentschap;</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 xml:space="preserve">de bekendmaking van een bericht in het </w:t>
            </w:r>
            <w:r>
              <w:rPr>
                <w:rFonts w:ascii="Arial" w:hAnsi="Arial"/>
                <w:b w:val="false"/>
                <w:i/>
                <w:color w:val="333333"/>
                <w:sz w:val="18"/>
              </w:rPr>
              <w:t>Belgisch Staatsblad</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publicatie van de berichten wordt uitgevoerd uiterlijk de dag voor de aanvang van het openbaar onderzoek.</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Het bericht bevat in elk geval het volgende: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beknopte omschrijving van het voorwerp van de aanvraag;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ligging van het voorwerp van de aanvraag;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naam van de aanvrager of exploitant. Als de aanvraag wordt ondertekend door een natuurlijk persoon namens een rechtspersoon, wordt alleen de naam van de rechtspersoon vermeld;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overheid waarbij relevante informatie kan worden verkregen en haar coördinaten;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begin- en einddatum van het openbaar onderzoek;</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plaatsen waar het dossier tijdens het openbaar onderzoek ter inzage ligt en de inzagemodaliteiten;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mogelijkheid om standpunten, opmerkingen en bezwaren in te dienen over het dossier alsook de voorwaarden en modaliteiten waaronder ze ingediend kunnen worden;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 voorkomend geval, een verwijzing naar de eerder gehouden openbare onderzoeken.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openbaar onderzoek vangt aan op de datum aangegeven door het Agentschap en loopt voor een termijn van dertig kalenderdagen.</w:t>
            </w:r>
          </w:p>
          <w:p>
            <w:pPr>
              <w:spacing w:before="60" w:after="60"/>
              <w:ind w:left="45"/>
              <w:jc w:val="left"/>
            </w:pPr>
            <w:r>
              <w:rPr>
                <w:rFonts w:ascii="Arial" w:hAnsi="Arial"/>
                <w:b w:val="false"/>
                <w:i w:val="false"/>
                <w:color w:val="333333"/>
                <w:sz w:val="18"/>
              </w:rPr>
              <w:t>Gedurende de periode waarin het openbaar onderzoek loopt, kan iedere natuurlijke persoon of rechtspersoon standpunten, opmerkingen en bezwaren meedelen aan het Agentschap op schriftelijke wijze.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6.3.4 Adviesinstanties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Het Agentschap maakt het dossier in afdrukbare digitale vorm voor advies over aan de volgende instanties: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colleges van burgemeesters en schepenen van de gemeenten die zich op een afstand minder dan 5 km van het voorwerp van de aanvraag bevinden;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provincies die zich op een afstand minder dan 5 km van het voorwerp van de aanvraag bevinden;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het Vlaams Gewest indien het voorwerp van de aanvraag gelegen is in het Vlaams Gewest of zich op een afstand minder dan 5 km van het Vlaams Gewest bevindt;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Waals Gewest indien het voorwerp van de aanvraag gelegen is in het Waals Gewest of zich op een afstand minder dan 5 km van het Waals Gewest bevindt;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het Brussels Hoofdstedelijk Gewest indien het voorwerp van de aanvraag gelegen is in het Brussels Hoofdstedelijk Gewest of zich op een afstand minder dan 5 km van het Brussels Hoofdstedelijk Gewest bevindt.</w:t>
            </w:r>
          </w:p>
          <w:p>
            <w:pPr>
              <w:spacing w:before="60" w:after="60"/>
              <w:ind w:left="45"/>
              <w:jc w:val="left"/>
            </w:pPr>
            <w:r>
              <w:rPr>
                <w:rFonts w:ascii="Arial" w:hAnsi="Arial"/>
                <w:b w:val="false"/>
                <w:i w:val="false"/>
                <w:color w:val="333333"/>
                <w:sz w:val="18"/>
              </w:rPr>
              <w:t>Indien het dossier een milieueffectbeoordelingsrapport omvat, behandelt de adviesaanvraag ook de inhoud van dat rapport, tenzij dit rapport al goedgekeurd en nog actueel is.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adviesinstanties bedoeld in paragraaf 1 verlenen hun advies binnen een vervaltermijn van dertig kalenderdagen. De termijn gaat in op de dag na de dag van ontvangst van de adviesaanvraag.</w:t>
            </w:r>
          </w:p>
          <w:p>
            <w:pPr>
              <w:spacing w:before="60" w:after="60"/>
              <w:ind w:left="45"/>
              <w:jc w:val="left"/>
            </w:pPr>
            <w:r>
              <w:rPr>
                <w:rFonts w:ascii="Arial" w:hAnsi="Arial"/>
                <w:b w:val="false"/>
                <w:i w:val="false"/>
                <w:color w:val="333333"/>
                <w:sz w:val="18"/>
              </w:rPr>
              <w:t>Als geen advies wordt uitgebracht binnen de vastgestelde termijn, wordt het advies geacht gunstig te zijn.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6.4 Land- of gewestgrensoverschrijdende milieueffecten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het Agentschap vaststelt dat er mogelijk aanzienlijke land-of gewestgrensoverschrijdende effecten zijn zoals bedoeld in artikel 27/5 § 6 van de Wet van 15 april 1994, wordt het dossier in afdrukbare digitale vorm ter beschikking gesteld van de bevoegde autoriteiten van de lidstaten van de Europese Unie, de verdragspartij bij het Verdrag inzake milieueffectrapportage in grensoverschrijdend verband ondertekend te Espoo op 25 februari 1991 en/of de betrokken gewesten.</w:t>
            </w:r>
          </w:p>
          <w:p>
            <w:pPr>
              <w:spacing w:before="60" w:after="60"/>
              <w:ind w:left="45"/>
              <w:jc w:val="left"/>
            </w:pPr>
            <w:r>
              <w:rPr>
                <w:rFonts w:ascii="Arial" w:hAnsi="Arial"/>
                <w:b w:val="false"/>
                <w:i w:val="false"/>
                <w:color w:val="333333"/>
                <w:sz w:val="18"/>
              </w:rPr>
              <w:t>Het Agentschap bezorgt de bevoegde autoriteiten van de lidstaten van de Europese Unie, de verdragspartij bij het Verdrag inzake milieueffectrapportage in grensoverschrijdend verband ondertekend te Espoo op 25 februari 1991 en de betrokken gewesten zo spoedig mogelijk en uiterlijk de dag voor de aanvang van het openbaar onderzoek het bericht bedoeld in artikel 6.3.3, § 3.</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belanghebbende inwoners van het betrokken gewest, de betrokken lidstaat van de Europese Unie of de verdragspartij bij het Verdrag inzake milieueffectrapportage in grensoverschrijdend verband ondertekend te Espoo op 25 februari 1991 kunnen deelnemen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openbaar onderzoek, vermeld in artikel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openbaar onderzoek dat de bevoegde autoriteit op basis van het ontvangen dossier eventueel op haar eigen grondgebied organiseert.</w:t>
            </w:r>
          </w:p>
          <w:p>
            <w:pPr>
              <w:spacing w:before="60" w:after="60"/>
              <w:ind w:left="45"/>
              <w:jc w:val="left"/>
            </w:pPr>
            <w:r>
              <w:rPr>
                <w:rFonts w:ascii="Arial" w:hAnsi="Arial"/>
                <w:b w:val="false"/>
                <w:i w:val="false"/>
                <w:color w:val="333333"/>
                <w:sz w:val="18"/>
              </w:rPr>
              <w:t>De bevoegde autoriteiten delen hun eventuele opmerkingen, samen met de resultaten van het eventueel door hun georganiseerde openbaar onderzoek, tegelijkertijd mee aan het Agentschap binnen een termijn van vijftig kalenderdagen na de datum van de terbeschikkingstelling vermeld in paragraaf 1.</w:t>
            </w:r>
          </w:p>
          <w:p>
            <w:pPr>
              <w:spacing w:before="60" w:after="60"/>
              <w:ind w:left="45"/>
              <w:jc w:val="left"/>
            </w:pPr>
            <w:r>
              <w:rPr>
                <w:rFonts w:ascii="Arial" w:hAnsi="Arial"/>
                <w:b w:val="false"/>
                <w:i w:val="false"/>
                <w:color w:val="333333"/>
                <w:sz w:val="18"/>
              </w:rPr>
              <w:t>De adviesaanvraag behandelt ook de inhoud van het milieueffectbeoordelingsrapport, tenzij dit rapport al goedgekeurd en nog actueel is.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Agentschap pleegt overleg met de betrokken gewesten, lidstaten van de Europese Unie en verdragspartijen bij het Verdrag inzake milieueffectrapportage in grensoverschrijdend verband ondertekend te Espoo op 25 februari 1991 over onder andere de potentiële land- of gewestgrensoverschrijdende effecten van de inrichting en de maatregelen die worden overwogen om die effecten te beperken of teniet te doen, en komt met hen een redelijke termijn overeen waarin het overleg moet plaatsvinden.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6.5 Beslissing Agentschap milieueffectbeoordelingsrapport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Indien de vergunningsaanvraag een milieueffectbeoordelingsrapport omvat en indien dit rapport nog niet goedgekeurd werd of niet meer actueel is, keurt het Agentschap het milieubeoordelingsrapport goed of af en houdt hierbij rekening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resultaten van het openbaar onderzoek overeenkomstig 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adviezen van de adviesinstanties vermeld in 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van toepassing, de land- of gewestgrensoverschrijdende raadpleging overeenkomstig art. 6.4.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Indien het Agentschap van oordeel is dat er door de opdrachtgever monitoringsmaatregelen dienen te worden nageleefd, worden deze omschreven in de beslissing van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6.6 Definitief advies van de Wetenschappelijke Raad </w:t>
            </w:r>
          </w:p>
          <w:p>
            <w:pPr>
              <w:spacing w:before="60" w:after="60"/>
              <w:ind w:left="45"/>
              <w:jc w:val="left"/>
            </w:pPr>
            <w:r>
              <w:rPr>
                <w:rFonts w:ascii="Arial" w:hAnsi="Arial"/>
                <w:b w:val="false"/>
                <w:i w:val="false"/>
                <w:color w:val="333333"/>
                <w:sz w:val="18"/>
              </w:rPr>
              <w:t>Het Agentschap stelt een verslag op met daarin haar analyse van de vergunningsaanvraag en een samenvatting van de resultaten van de raadplegingen overeenkomstig art. 6.3.2, 6.3.3, 6.3.4 en desgevallend art. 6.4.</w:t>
            </w:r>
          </w:p>
          <w:p>
            <w:pPr>
              <w:spacing w:before="60" w:after="60"/>
              <w:ind w:left="45"/>
              <w:jc w:val="left"/>
            </w:pPr>
            <w:r>
              <w:rPr>
                <w:rFonts w:ascii="Arial" w:hAnsi="Arial"/>
                <w:b w:val="false"/>
                <w:i w:val="false"/>
                <w:color w:val="333333"/>
                <w:sz w:val="18"/>
              </w:rPr>
              <w:t>Het Agentschap legt dit verslag voor aan de Wetenschappelijke Raad die een gemotiveerd voorlopig advies uitbrengt.</w:t>
            </w:r>
          </w:p>
          <w:p>
            <w:pPr>
              <w:spacing w:before="60" w:after="60"/>
              <w:ind w:left="45"/>
              <w:jc w:val="left"/>
            </w:pPr>
            <w:r>
              <w:rPr>
                <w:rFonts w:ascii="Arial" w:hAnsi="Arial"/>
                <w:b w:val="false"/>
                <w:i w:val="false"/>
                <w:color w:val="333333"/>
                <w:sz w:val="18"/>
              </w:rPr>
              <w:t>Het advies van de Wetenschappelijke Raad wordt verstrekt binnen een termijn van negentig kalenderdagen vanaf de ontvangst van het verslag van het Agentschap, of binnen een langere termijn die de Raad moet rechtvaardigen.</w:t>
            </w:r>
          </w:p>
          <w:p>
            <w:pPr>
              <w:spacing w:before="60" w:after="60"/>
              <w:ind w:left="45"/>
              <w:jc w:val="left"/>
            </w:pPr>
            <w:r>
              <w:rPr>
                <w:rFonts w:ascii="Arial" w:hAnsi="Arial"/>
                <w:b w:val="false"/>
                <w:i w:val="false"/>
                <w:color w:val="333333"/>
                <w:sz w:val="18"/>
              </w:rPr>
              <w:t>Het Agentschap deelt onmiddellijk het advies van de Wetenschappelijke Raad bij een ter post aangetekende brief aan de aanvrager mee. Indien dit advies gunstig is, kan het bijzondere voorwaarden bevatten die niet in dit reglement zijn voorzien en die de Raad nodig acht om de veiligheid van de inrichting te waarborgen en om de effecten ervan op het milieu te beperken.</w:t>
            </w:r>
          </w:p>
          <w:p>
            <w:pPr>
              <w:spacing w:before="60" w:after="60"/>
              <w:ind w:left="45"/>
              <w:jc w:val="left"/>
            </w:pPr>
            <w:r>
              <w:rPr>
                <w:rFonts w:ascii="Arial" w:hAnsi="Arial"/>
                <w:b w:val="false"/>
                <w:i w:val="false"/>
                <w:color w:val="333333"/>
                <w:sz w:val="18"/>
              </w:rPr>
              <w:t>De aanvrager beschikt over een periode van dertig kalenderdagen vanaf de kennisgeving om zijn eventuele opmerkingen in te dienen. Op zijn vraag kan deze termijn door het Agentschap verlengd worden. De aanvrager wordt door de Wetenschappelijke Raad gehoord indien hij daartoe binnen dezelfde termijn een verzoek heeft ingediend.</w:t>
            </w:r>
          </w:p>
          <w:p>
            <w:pPr>
              <w:spacing w:before="60" w:after="60"/>
              <w:ind w:left="45"/>
              <w:jc w:val="left"/>
            </w:pPr>
            <w:r>
              <w:rPr>
                <w:rFonts w:ascii="Arial" w:hAnsi="Arial"/>
                <w:b w:val="false"/>
                <w:i w:val="false"/>
                <w:color w:val="333333"/>
                <w:sz w:val="18"/>
              </w:rPr>
              <w:t>Het advies van de Wetenschappelijke Raad wordt als definitief beschouwd, indien de aanvrager binnen de toegestane termijn geen bemerkingen formuleert of van zodra hij laat weten geen bemerkingen te hebben.</w:t>
            </w:r>
          </w:p>
          <w:p>
            <w:pPr>
              <w:spacing w:before="60" w:after="60"/>
              <w:ind w:left="45"/>
              <w:jc w:val="left"/>
            </w:pPr>
            <w:r>
              <w:rPr>
                <w:rFonts w:ascii="Arial" w:hAnsi="Arial"/>
                <w:b w:val="false"/>
                <w:i w:val="false"/>
                <w:color w:val="333333"/>
                <w:sz w:val="18"/>
              </w:rPr>
              <w:t>Indien de aanvrager opmerkingen maakt, beraadslaagt de Wetenschappelijke Raad opnieuw en brengt hij een definitief advies uit. Rekening houdend met de opmerkingen van de aanvrager kan het definitief advies, indien dit gunstig is, nog bijzondere voorwaarden bevatten die niet opgenomen zijn in het gemotiveerd voorlopig advies bedoeld in bovenvermeld tweede lid.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6.7 Beslissing </w:t>
            </w:r>
          </w:p>
          <w:p>
            <w:pPr>
              <w:spacing w:before="60" w:after="60"/>
              <w:ind w:left="45"/>
              <w:jc w:val="left"/>
            </w:pPr>
            <w:r>
              <w:rPr>
                <w:rFonts w:ascii="Arial" w:hAnsi="Arial"/>
                <w:b w:val="false"/>
                <w:i w:val="false"/>
                <w:color w:val="333333"/>
                <w:sz w:val="18"/>
              </w:rPr>
              <w:t>Het Agentschap maakt een voorstel van beslissing over aan de Minister bevoegd voor Binnenlandse Zaken.</w:t>
            </w:r>
          </w:p>
          <w:p>
            <w:pPr>
              <w:spacing w:before="60" w:after="60"/>
              <w:ind w:left="45"/>
              <w:jc w:val="left"/>
            </w:pPr>
            <w:r>
              <w:rPr>
                <w:rFonts w:ascii="Arial" w:hAnsi="Arial"/>
                <w:b w:val="false"/>
                <w:i w:val="false"/>
                <w:color w:val="333333"/>
                <w:sz w:val="18"/>
              </w:rPr>
              <w:t>Onze beslissing, in de vorm van besluit getroffen, wordt mede ondertekend door de Minister tot wiens bevoegdheid de binnenlandse zaken behoren.</w:t>
            </w:r>
          </w:p>
          <w:p>
            <w:pPr>
              <w:spacing w:before="60" w:after="60"/>
              <w:ind w:left="45"/>
              <w:jc w:val="left"/>
            </w:pPr>
            <w:r>
              <w:rPr>
                <w:rFonts w:ascii="Arial" w:hAnsi="Arial"/>
                <w:b w:val="false"/>
                <w:i w:val="false"/>
                <w:color w:val="333333"/>
                <w:sz w:val="18"/>
              </w:rPr>
              <w:t>Wanneer de beslissing afwijkt van het advies van de Wetenschappelijke Raad, dient het besluit uitdrukkelijk de redenen te vermelden waarom van dat advies afgeweken wordt.</w:t>
            </w:r>
          </w:p>
          <w:p>
            <w:pPr>
              <w:spacing w:before="0" w:after="0"/>
              <w:ind w:left="45"/>
              <w:jc w:val="left"/>
            </w:pPr>
            <w:r>
              <w:rPr>
                <w:rFonts w:ascii="Arial" w:hAnsi="Arial"/>
                <w:b w:val="false"/>
                <w:i w:val="false"/>
                <w:color w:val="333333"/>
                <w:sz w:val="18"/>
              </w:rPr>
              <w:t>De oprichtings- en exploitatievergunning legt in elk geval het volgende vast: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beknopte omschrijving van de te bouwen inrichting en haar locatie;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referentiedocumenten die de basis voor de vergunning van de inrichting vormen en de grondslag voor de veilige uitbating ervan zijn;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maximale radiologische inventaris, bronterm, vermogen of opslagcapaciteit die door de vergunning afgedekt is;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voorwaarden die door de exploitant moeten nageleefd worden tijdens de oprichting of de aanleg van de inrichting, de vervaardiging van haar onderdelen en de oplevering van de inrichting, met inbegrip van holdpoints en witness-points waar het Agentschap tussenkomt;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 welke mate en onder welke voorwaarden er radioactieve stoffen mogen binnengebracht worden voordat de oplevering heeft plaatsgevonden.</w:t>
            </w:r>
          </w:p>
          <w:p>
            <w:pPr>
              <w:spacing w:before="0" w:after="0"/>
              <w:ind w:left="45"/>
              <w:jc w:val="left"/>
            </w:pPr>
            <w:r>
              <w:rPr>
                <w:rFonts w:ascii="Arial" w:hAnsi="Arial"/>
                <w:b w:val="false"/>
                <w:i w:val="false"/>
                <w:color w:val="333333"/>
                <w:sz w:val="18"/>
              </w:rPr>
              <w:t>Als een milieueffectbeoordelingsrapport is opgemaakt bevat de oprichtings- en exploitatievergunning: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gemotiveerde beslissing van het Agentschap, zoals bedoeld in artikel 6.1bis.6 of 6.5;</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alle kenmerken van het project of de geplande maatregelen om aanzienlijke nadelige effecten op het milieu te vermijden, te voorkomen of te beperken en, indien mogelijk, te compenseren en, in voorkomend geval, monitoringsmaatregelen;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 voorkomend geval de procedures voor de monitoring van de aanzienlijke nadelige milieueffecten die door de aanvrager uitgevoerd moeten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 Kennisgeving van de beslissing </w:t>
            </w:r>
          </w:p>
          <w:p>
            <w:pPr>
              <w:spacing w:before="0" w:after="0"/>
              <w:ind w:left="45"/>
              <w:jc w:val="left"/>
            </w:pPr>
            <w:r>
              <w:rPr>
                <w:rFonts w:ascii="Arial" w:hAnsi="Arial"/>
                <w:b w:val="false"/>
                <w:i w:val="false"/>
                <w:color w:val="333333"/>
                <w:sz w:val="18"/>
              </w:rPr>
              <w:t>Onze beslissing wordt medegedeeld aan het Agentschap, dat de Wetenschappelijke Raad hierover inlicht. Het Agentschap maakt een afschrift over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aanvrager,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in toepassing van artikel 6.3.4 geconsulteerde instanties;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elke gemeente bedoeld in artikel 6.3.3, die de beslissing bekendmaakt door een bericht op de website van de gemeente en, indien deze op het grondgebied van zijn gemeente gelegen is, laat aanplakken aan de exploitatiezetel;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directeur van de directie Toezicht Welzijn op het Werk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voorzitter van het directiecomité van de Federale Overheidsdienst Binnenlandse Zaken;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directeur-generaal van NIRAS;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 voorkomend geval, de overeenkomstig artikel 6.4 geïnformeerde lidstaten van de Europese Unie, Verdragspartijen van het Verdrag van Espoo en gewesten;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het Directoraat-generaal Leefmilieu, in geval van raadpleging van de Europese commissie;</w:t>
            </w:r>
          </w:p>
          <w:p>
            <w:pPr>
              <w:spacing w:before="60" w:after="60"/>
              <w:ind w:left="45"/>
              <w:jc w:val="left"/>
            </w:pPr>
            <w:r>
              <w:rPr>
                <w:rFonts w:ascii="Arial" w:hAnsi="Arial"/>
                <w:b w:val="false"/>
                <w:i w:val="false"/>
                <w:color w:val="333333"/>
                <w:sz w:val="18"/>
              </w:rPr>
              <w:t xml:space="preserve">De beslissing wordt bij uittreksel in het </w:t>
            </w:r>
            <w:r>
              <w:rPr>
                <w:rFonts w:ascii="Arial" w:hAnsi="Arial"/>
                <w:b w:val="false"/>
                <w:i/>
                <w:color w:val="333333"/>
                <w:sz w:val="18"/>
              </w:rPr>
              <w:t>Belgisch Staatsblad</w:t>
            </w:r>
            <w:r>
              <w:rPr>
                <w:rFonts w:ascii="Arial" w:hAnsi="Arial"/>
                <w:b w:val="false"/>
                <w:i w:val="false"/>
                <w:color w:val="333333"/>
                <w:sz w:val="18"/>
              </w:rPr>
              <w:t xml:space="preserve"> bekendgemaakt.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6.9 Bevestigingsbesluit van de oprichtings- en exploitatievergunning van de inrichtingen van klasse I </w:t>
            </w:r>
          </w:p>
          <w:p>
            <w:pPr>
              <w:spacing w:before="60" w:after="60"/>
              <w:ind w:left="45"/>
              <w:jc w:val="left"/>
            </w:pPr>
            <w:r>
              <w:rPr>
                <w:rFonts w:ascii="Arial" w:hAnsi="Arial"/>
                <w:b w:val="false"/>
                <w:i w:val="false"/>
                <w:color w:val="333333"/>
                <w:sz w:val="18"/>
              </w:rPr>
              <w:t>De krachtens artikel 6.7 verleende vergunning houdt voor de exploitant het recht in om, op eigen verantwoordelijkheid, het bouwen en inrichten van de installaties aan te vatten overeenkomstig de bepalingen van de verleende vergunning.</w:t>
            </w:r>
          </w:p>
          <w:p>
            <w:pPr>
              <w:spacing w:before="60" w:after="60"/>
              <w:ind w:left="45"/>
              <w:jc w:val="left"/>
            </w:pPr>
            <w:r>
              <w:rPr>
                <w:rFonts w:ascii="Arial" w:hAnsi="Arial"/>
                <w:b w:val="false"/>
                <w:i w:val="false"/>
                <w:color w:val="333333"/>
                <w:sz w:val="18"/>
              </w:rPr>
              <w:t>Vóór de volledige of gedeeltelijke inbedrijfstelling van een inrichting van klasse I, voert het Agentschap een veiligheidsevaluatie uit van de oplevering die plaatsgevonden heeft volgens de bepalingen van artikel 23.1.5, b), punt 4. De exploitant bezorgt het Agentschap de hiertoe vereiste verslagen en documenten.</w:t>
            </w:r>
          </w:p>
          <w:p>
            <w:pPr>
              <w:spacing w:before="60" w:after="60"/>
              <w:ind w:left="45"/>
              <w:jc w:val="left"/>
            </w:pPr>
            <w:r>
              <w:rPr>
                <w:rFonts w:ascii="Arial" w:hAnsi="Arial"/>
                <w:b w:val="false"/>
                <w:i w:val="false"/>
                <w:color w:val="333333"/>
                <w:sz w:val="18"/>
              </w:rPr>
              <w:t>Op basis van de veiligheidsevaluatie stelt het Agentschap een opleveringsverslag op.</w:t>
            </w:r>
          </w:p>
          <w:p>
            <w:pPr>
              <w:spacing w:before="60" w:after="60"/>
              <w:ind w:left="45"/>
              <w:jc w:val="left"/>
            </w:pPr>
            <w:r>
              <w:rPr>
                <w:rFonts w:ascii="Arial" w:hAnsi="Arial"/>
                <w:b w:val="false"/>
                <w:i w:val="false"/>
                <w:color w:val="333333"/>
                <w:sz w:val="18"/>
              </w:rPr>
              <w:t>Indien het Agentschap geen volledig gunstig opleveringsverslag kan opstellen, dan stelt het de exploitant daarvan op voorhand in kennis en wijst het hem erop dat hij het recht heeft te worden gehoord binnen een termijn van dertig kalenderdagen vanaf voornoemde kennisgeving.</w:t>
            </w:r>
          </w:p>
          <w:p>
            <w:pPr>
              <w:spacing w:before="60" w:after="60"/>
              <w:ind w:left="45"/>
              <w:jc w:val="left"/>
            </w:pPr>
            <w:r>
              <w:rPr>
                <w:rFonts w:ascii="Arial" w:hAnsi="Arial"/>
                <w:b w:val="false"/>
                <w:i w:val="false"/>
                <w:color w:val="333333"/>
                <w:sz w:val="18"/>
              </w:rPr>
              <w:t>Indien de aanvrager wenst gebruik te maken van zijn recht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Het Agentschap stuurt het gunstig opleveringsverslag en haar conclusies onverwijld naar de minister bevoegd voor Binnenlandse Zaken. Deze minister stelt dan aan de Koning voor om de oprichtingsen exploitatievergunning te bevestigen.</w:t>
            </w:r>
          </w:p>
          <w:p>
            <w:pPr>
              <w:spacing w:before="60" w:after="60"/>
              <w:ind w:left="45"/>
              <w:jc w:val="left"/>
            </w:pPr>
            <w:r>
              <w:rPr>
                <w:rFonts w:ascii="Arial" w:hAnsi="Arial"/>
                <w:b w:val="false"/>
                <w:i w:val="false"/>
                <w:color w:val="333333"/>
                <w:sz w:val="18"/>
              </w:rPr>
              <w:t>De inbedrijfstelling van een deel van de inrichting kan niet plaatsvinden zolang de Koning de oprichtings- en exploitatievergunning voor dat deel van de inrichting niet heeft bevestigd.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Régime d'autorisation des établissements de classe 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 Autorité compétente pour délivrer l'autorisation </w:t>
            </w:r>
          </w:p>
          <w:p>
            <w:pPr>
              <w:spacing w:before="60" w:after="60"/>
              <w:ind w:left="45"/>
              <w:jc w:val="left"/>
            </w:pPr>
            <w:r>
              <w:rPr>
                <w:rFonts w:ascii="Arial" w:hAnsi="Arial"/>
                <w:b w:val="false"/>
                <w:i w:val="false"/>
                <w:color w:val="333333"/>
                <w:sz w:val="18"/>
              </w:rPr>
              <w:t>Conformément à l'article 16 § 1 de la loi du 15 avril 1994, les établissements de classe I doivent être en possession d'une autorisation de création et d'exploitation, accordée et confirmée par le Roi.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 Evaluation des incidences des rayonnements ionisants sur l'environnement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6.1bis.1 Champ d'application </w:t>
            </w:r>
          </w:p>
          <w:p>
            <w:pPr>
              <w:spacing w:before="0" w:after="0"/>
              <w:ind w:left="45"/>
              <w:jc w:val="left"/>
            </w:pPr>
            <w:r>
              <w:rPr>
                <w:rFonts w:ascii="Arial" w:hAnsi="Arial"/>
                <w:b w:val="false"/>
                <w:i w:val="false"/>
                <w:color w:val="333333"/>
                <w:sz w:val="18"/>
              </w:rPr>
              <w:t>Les projets suivants sont soumis à un rapport d'évaluation des incidences sur l'environnement: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projets visés à l'annexe 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projets visés à l'annexe XI, pour lesquels l'Agence est d'avis, après un screening, qu'ils sont ou peuvent être de nature à avoir des incidences environnementales notables du fait des rayonnements ionisants.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6.1bis.2 Exemption des dispositions relatives à l'évaluation des incidences sur l'environnement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Dans les cas prévus à l'article 27/8 de la loi du 15 avril 1994, le maître d'ouvrage peut adresser à l'Agence une demande visant à exempter le projet ou une partie de celui-ci des dispositions relatives à l'évaluation des incidences sur l'environnement.</w:t>
            </w:r>
          </w:p>
          <w:p>
            <w:pPr>
              <w:spacing w:before="0" w:after="0"/>
              <w:ind w:left="45"/>
              <w:jc w:val="left"/>
            </w:pPr>
            <w:r>
              <w:rPr>
                <w:rFonts w:ascii="Arial" w:hAnsi="Arial"/>
                <w:b w:val="false"/>
                <w:i w:val="false"/>
                <w:color w:val="333333"/>
                <w:sz w:val="18"/>
              </w:rPr>
              <w:t>La demande d'exemption comprend dans tous les cas: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incidences notables probables du projet sur l'environnement, pour autant que des informations sur ces incidences existent;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arguments/motifs pour lesquels une exemption des dispositions relatives à l'évaluation des incidences sur l'environnement est demandée;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informations obtenues dans le cadre d'autres formes d'évaluation des incidences sur l'environnement.</w:t>
            </w:r>
          </w:p>
          <w:p>
            <w:pPr>
              <w:spacing w:before="60" w:after="60"/>
              <w:ind w:left="45"/>
              <w:jc w:val="left"/>
            </w:pPr>
            <w:r>
              <w:rPr>
                <w:rFonts w:ascii="Arial" w:hAnsi="Arial"/>
                <w:b w:val="false"/>
                <w:i w:val="false"/>
                <w:color w:val="333333"/>
                <w:sz w:val="18"/>
              </w:rPr>
              <w:t>Le maître d'ouvrage adresse sa demande d'exemption par écrit à l'Agence. Cette demande peut être adressée à l'Agence préalablement à l'introduction de la demande d'autorisation.</w:t>
            </w:r>
          </w:p>
          <w:p>
            <w:pPr>
              <w:spacing w:before="60" w:after="60"/>
              <w:ind w:left="45"/>
              <w:jc w:val="left"/>
            </w:pPr>
            <w:r>
              <w:rPr>
                <w:rFonts w:ascii="Arial" w:hAnsi="Arial"/>
                <w:b w:val="false"/>
                <w:i w:val="false"/>
                <w:color w:val="333333"/>
                <w:sz w:val="18"/>
              </w:rPr>
              <w:t>Si l'Agence constate que la demande d'exemption est incomplète, elle en informe le maître d'ouvrage. Celui-ci fournit des renseignements complémentaires à l'Agence dans les meilleurs délais.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se prononce sur la demande d'exemption dans un délai de soixante jours calendrier ou dans un délai prolongé qu'elle est tenue de justifier. Ce délai prend cours à la date de réception de la demande d'exemption complète. L'Agence signifie sa décision motivée au demandeur sous pli recommandé.</w:t>
            </w:r>
          </w:p>
          <w:p>
            <w:pPr>
              <w:spacing w:before="60" w:after="60"/>
              <w:ind w:left="45"/>
              <w:jc w:val="left"/>
            </w:pPr>
            <w:r>
              <w:rPr>
                <w:rFonts w:ascii="Arial" w:hAnsi="Arial"/>
                <w:b w:val="false"/>
                <w:i w:val="false"/>
                <w:color w:val="333333"/>
                <w:sz w:val="18"/>
              </w:rPr>
              <w:t>Si l'Agence estime que l'exemption sollicitée ne peut être accordée, elle en informe au préalable le maître d'ouvrage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Si le maître d'ouvrage souhaite recourir à son droit d'être entendu, il est tenu d'en aviser l'Agence par écrit au plus tard le quinzième jour calendrier suivant la notification.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Si l'Agence décide d'accorder une exemption, cette décision est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publiée par l'Agence sur son site web à des fins de consultation du public concerné, conformément à l'article 27/8 § 4 de la loi du 15 avril 1994;</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communiquée par l'Agence à la Commission européenne, au plus tard avant la décision sur la demande d'autorisation.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6.1bis.3 Screening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maître d'ouvrage établit et transmet à l'Agence une note de screening pour les projets visés à l'annexe XI, suivant le formulaire modèle de l'annexe XII.</w:t>
            </w:r>
          </w:p>
          <w:p>
            <w:pPr>
              <w:spacing w:before="60" w:after="60"/>
              <w:ind w:left="45"/>
              <w:jc w:val="left"/>
            </w:pPr>
            <w:r>
              <w:rPr>
                <w:rFonts w:ascii="Arial" w:hAnsi="Arial"/>
                <w:b w:val="false"/>
                <w:i w:val="false"/>
                <w:color w:val="333333"/>
                <w:sz w:val="18"/>
              </w:rPr>
              <w:t>Le maître d'ouvrage tient compte, le cas échéant, des résultats disponibles d'autres évaluations pertinentes des incidences sur l'environnement réalisées en vertu d'une législation différente. Le maître d'ouvrage peut également fournir une description de toutes les caractéristiques du projet et des mesures envisagées pour éviter ou prévenir ce qui aurait pu, à défaut, constituer des incidences négatives notables sur l'environnement.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signifie l'avis visé à l'article 6.1bis 1., 2° au maître d'ouvrage au plus tard dans les 60 jours calendrier suivant la réception de la note de screening complète. Cet avis tient compte des critères visés à l'annexe XIII et précise, le cas échéant, les mesures que propose le maître d'ouvrage pour éviter ou prévenir les incidences négatives notables sur l'environnement.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6.1bis.4 Avis de cadrage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maître d'ouvrage peut demander un avis de cadrage à l'Agence préalablement à l'établissement du rapport d'évaluation des incidences sur l'environnement.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maître d'ouvrage adresse sa demande d'avis de cadrage par écrit à l'Agence.</w:t>
            </w:r>
          </w:p>
          <w:p>
            <w:pPr>
              <w:spacing w:before="0" w:after="0"/>
              <w:ind w:left="45"/>
              <w:jc w:val="left"/>
            </w:pPr>
            <w:r>
              <w:rPr>
                <w:rFonts w:ascii="Arial" w:hAnsi="Arial"/>
                <w:b w:val="false"/>
                <w:i w:val="false"/>
                <w:color w:val="333333"/>
                <w:sz w:val="18"/>
              </w:rPr>
              <w:t>Dans sa demande d'avis de cadrage, le maître d'ouvrage fournit dans tous les cas les renseignements suivant: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 y compris du site et sa capacité technique, ainsi qu'une description succincte des solutions de substitution envisagées pour le projet ou pour certaines de ses parties;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incidences notables à examiner que le projet aura probablement sur l'homme et l'environnement;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tous les renseignements disponibles sur les potentielles incidences transfrontalières ou transrégionales notables du projet;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L'Agence transmet, dans les cas visés à l'article 27/5 §§ 6 et 7 de la loi du 15 avril 1994, la demande d'avis de cadrage pour avis aux instances consultatives visées à l'article 6.3.4, selon la procédure qui y est décrite, ainsi qu'aux autorités et régions visées à l'article 6.4, selon la procédure qui y est décrite.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L'Agence fonde son avis de cadrage sur les renseignements fournis dans le cadre de la demande d'avis de cadrage du maître d'ouvrage; elle tient compte des résultats de la consultation et des renseignements visés aux paragraphes 2 et 3.</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6.1bis.5 Contenu du rapport d'évaluation des incidences sur l'environnement </w:t>
            </w:r>
          </w:p>
          <w:p>
            <w:pPr>
              <w:spacing w:before="0" w:after="0"/>
              <w:ind w:left="45"/>
              <w:jc w:val="left"/>
            </w:pPr>
            <w:r>
              <w:rPr>
                <w:rFonts w:ascii="Arial" w:hAnsi="Arial"/>
                <w:b w:val="false"/>
                <w:i w:val="false"/>
                <w:color w:val="333333"/>
                <w:sz w:val="18"/>
              </w:rPr>
              <w:t>Le rapport d'évaluation des incidences sur l'environnement, contient dans tous les cas les informations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 comportant des renseignements relatifs au site, à la conception, aux dimensions et aux autres caractéristiques pertinentes du projet;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incidences notables probables du projet sur l'environnement;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description des caractéristiques du projet ou des mesures envisagées pour éviter, prévenir ou réduire et, si possible, compenser les incidences négatives notables probables sur l'environnement;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des solutions de substitution raisonnables qui ont été examinées par le maître d'ouvrage, en fonction du projet et de ses caractéristiques spécifiques, et une indication des principales raisons du choix effectué, eu égard aux incidences du projet sur l'environnement;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un résumé non technique des informations visées aux points 1° à 4°;</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toutes les informations supplémentaires, visées à l'annexe XIV, en fonction des caractéristiques spécifiques du projet ou d'un type de projets particulier et des éléments de l'environnement sur lesquels une incidence pourrait se produire.</w:t>
            </w:r>
          </w:p>
          <w:p>
            <w:pPr>
              <w:spacing w:before="60" w:after="60"/>
              <w:ind w:left="45"/>
              <w:jc w:val="left"/>
            </w:pPr>
            <w:r>
              <w:rPr>
                <w:rFonts w:ascii="Arial" w:hAnsi="Arial"/>
                <w:b w:val="false"/>
                <w:i w:val="false"/>
                <w:color w:val="333333"/>
                <w:sz w:val="18"/>
              </w:rPr>
              <w:t>Le rapport d'évaluation des incidences sur l'environnement pour lequel un avis de cadrage a été rendu, est fondé sur cet avis de cadrage et inclut les informations qui peuvent raisonnablement être requises pour arriver à une conclusion motivée sur les incidences notables du projet sur l'environnement, compte tenu des connaissances et des méthodes d'évaluation existantes.</w:t>
            </w:r>
          </w:p>
          <w:p>
            <w:pPr>
              <w:spacing w:before="60" w:after="60"/>
              <w:ind w:left="45"/>
              <w:jc w:val="left"/>
            </w:pPr>
            <w:r>
              <w:rPr>
                <w:rFonts w:ascii="Arial" w:hAnsi="Arial"/>
                <w:b w:val="false"/>
                <w:i w:val="false"/>
                <w:color w:val="333333"/>
                <w:sz w:val="18"/>
              </w:rPr>
              <w:t>Le maître d'ouvrage tient compte dans le rapport d'évaluation des incidences sur l'environnement, des résultats disponibles d'autres évaluations réalisées en application de la loi du 15 avril 1994 et du présent règlement, ou d'autre législation régionale, fédérale ou de l'Union Européenne.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6.1bis.6 Approbation préalable du rapport d'évaluation des incidences sur l'environnement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conformément à l'art. 27/6 de la loi du 15 avril 1994, le maître d'ouvrage demande à l'Agence l'évaluation du projet de rapport d'évaluation des incidences sur l'environnement préalablement à sa demande d'autorisation, il adresse à l'Agence sa demande ainsi que le projet de rapport d'évaluation des incidences sur l'environnement sous forme numérique imprimable.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soumet le projet de rapport d'évaluation des incidences sur l'environnement à une enquête publique suivant la procédure décrite à l'article 6.3.3.</w:t>
            </w:r>
          </w:p>
          <w:p>
            <w:pPr>
              <w:spacing w:before="0" w:after="0"/>
              <w:ind w:left="45"/>
              <w:jc w:val="left"/>
            </w:pPr>
            <w:r>
              <w:rPr>
                <w:rFonts w:ascii="Arial" w:hAnsi="Arial"/>
                <w:b w:val="false"/>
                <w:i w:val="false"/>
                <w:color w:val="333333"/>
                <w:sz w:val="18"/>
              </w:rPr>
              <w:t>En parallèle, le projet de rapport d'évaluation des incidences sur l'environnement est soumis pour avis: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aux instances consultatives visées à l'article 6.3.4, suivant la procédure reprise à cet article, ainsi que;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aux autorités compétentes des États membres de l'Union européenne, à la partie contractante à la Convention sur l'évaluation de l'impact sur l'environnement dans un contexte transfrontière, signée à Espoo le 25 février 1991, et aux régions concernées selon la procédure décrite à l'article 6.4, si l'Agence constate la possibilité d'incidences transfrontalières ou transrégionales notables conformément à l'article 27/5 § 6 de la loi du 15 avril 1994.</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L'Agence approuve ou refuse le projet de rapport d'évaluation des incidences sur l'environnement en tenant compte: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résultats de l'enquête publique réalisée conformément à l'art.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 avis des instances consultatives visées à l'art.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de la consultation transfrontalière ou transrégionale réalisée conformément à l'art. 6.4.</w:t>
            </w:r>
          </w:p>
          <w:p>
            <w:pPr>
              <w:spacing w:before="60" w:after="60"/>
              <w:ind w:left="45"/>
              <w:jc w:val="left"/>
            </w:pPr>
            <w:r>
              <w:rPr>
                <w:rFonts w:ascii="Arial" w:hAnsi="Arial"/>
                <w:b w:val="false"/>
                <w:i w:val="false"/>
                <w:color w:val="333333"/>
                <w:sz w:val="18"/>
              </w:rPr>
              <w:t>Si l'Agence estime que des mesures de surveillance doivent être prises par le maître d'ouvrage, celles-ci sont reprises dans la décision de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6.2 Renseignements et documents à fournir </w:t>
            </w:r>
          </w:p>
          <w:p>
            <w:pPr>
              <w:spacing w:before="60" w:after="60"/>
              <w:ind w:left="45"/>
              <w:jc w:val="left"/>
            </w:pPr>
            <w:r>
              <w:rPr>
                <w:rFonts w:ascii="Arial" w:hAnsi="Arial"/>
                <w:b w:val="false"/>
                <w:i w:val="false"/>
                <w:color w:val="333333"/>
                <w:sz w:val="18"/>
              </w:rPr>
              <w:t>La demande d'autorisation, qui a été examinée et approuvée par un expert agréé en contrôle physique de classe I est adressée à l'Agence sous forme numérique imprimable.</w:t>
            </w:r>
          </w:p>
          <w:p>
            <w:pPr>
              <w:spacing w:before="0" w:after="0"/>
              <w:ind w:left="45"/>
              <w:jc w:val="left"/>
            </w:pPr>
            <w:r>
              <w:rPr>
                <w:rFonts w:ascii="Arial" w:hAnsi="Arial"/>
                <w:b w:val="false"/>
                <w:i w:val="false"/>
                <w:color w:val="333333"/>
                <w:sz w:val="18"/>
              </w:rPr>
              <w:t>A moins que cette l'information n'ait déjà été introduite antérieurement et soit encore actuelle, la demande d'autorisation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renseignements administratifs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Nom, prénom et qualité du demandeur;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Identification de l'exploitant: dénomination sociale de l'entreprise, ses sièges social, administratif et d'exploitation et les noms et prénoms des administrateurs ou gérants;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Description des capacités organisationnelles et humaines de l'exploitant en vue d'assurer l'exploitation sûre de l'installation;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rapport de sûreté préliminaire, qui satisfait aux conditions de l'article 13 de Arrêté royal portant prescriptions de sûreté des installations nucléaires et qui traite dans tous les cas des matières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Introduction et contexte.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Description générale du site, de l'installation, de son fonctionnement normal et de sa sûreté, description succincte des circuits principaux (circuits fluides, circuits électriques) et du système de contrôle-commande; la nature et les quantités de substances radioactives mises en œuvre.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Description détaillée du site:</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un relevé topographique de la région située dans un rayon de 500 m autour de l'établissement ainsi que les indications relatives à la densité de la population l'intérieur de ce périmètre</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géologie, séismologie, hydrologie, météorologie, climatologie et autres caractéristiques naturelles pertinentes</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activités économiques, y compris l'agriculture, voies de transport, et autres aspects pertinents liés à l'activité humaine.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Aspects généraux de la conception et objectifs fondamentaux de sûreté, description de la défense en profondeur.</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Description détaillée des fonctions de sûreté et des structures, systèmes et composants importants pour la sûreté nucléaire avec leurs bases de conception et leur fonctionnement dans tous les états de l'installation (en fonctionnement normal, à l'arrêt, en conditions incidentelles et accidentelles);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Codes et normes applicables à l'installation et les structures, systèmes et composants importants pour la sûreté nucléaire;</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Démonstration de sûreté:</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les analyses déterministes démontrant le respect de critères de sûreté et de limites radiologiques, y compris une description des marges,</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les analyses probabilistes de sûreté préliminaires pour les établissements visés aux articles 3.1.a).1;</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Organisation de l'exploitation et description du système de gestion.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Aspects opérationnels, y compris:</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la description des objectifs des procédures de conduite accidentelle,</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les principes de la maintenance, des essais et inspections,</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la qualification et la formation du personnel,</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les principes de la gestion du vieillissement.</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Principales limites et conditions d'exploitation avec leurs justifications techniques.</w:t>
            </w:r>
          </w:p>
          <w:p>
            <w:pPr>
              <w:spacing w:before="0" w:after="0"/>
              <w:ind w:left="435"/>
              <w:jc w:val="left"/>
            </w:pPr>
            <w:r>
              <w:rPr>
                <w:rFonts w:ascii="Arial" w:hAnsi="Arial"/>
                <w:b w:val="false"/>
                <w:i w:val="false"/>
                <w:color w:val="333333"/>
                <w:sz w:val="18"/>
              </w:rPr>
              <w:t>k)</w:t>
            </w:r>
          </w:p>
          <w:p>
            <w:pPr>
              <w:spacing w:before="0" w:after="0"/>
              <w:ind w:left="735"/>
              <w:jc w:val="left"/>
            </w:pPr>
            <w:r>
              <w:rPr>
                <w:rFonts w:ascii="Arial" w:hAnsi="Arial"/>
                <w:b w:val="false"/>
                <w:i w:val="false"/>
                <w:color w:val="333333"/>
                <w:sz w:val="18"/>
              </w:rPr>
              <w:t>Description de la radioprotection, dont entre autres des mesures et moyens mis en œuvre pour assurer le respect des normes de base définies au chapitre III.</w:t>
            </w:r>
          </w:p>
          <w:p>
            <w:pPr>
              <w:spacing w:before="0" w:after="0"/>
              <w:ind w:left="435"/>
              <w:jc w:val="left"/>
            </w:pPr>
            <w:r>
              <w:rPr>
                <w:rFonts w:ascii="Arial" w:hAnsi="Arial"/>
                <w:b w:val="false"/>
                <w:i w:val="false"/>
                <w:color w:val="333333"/>
                <w:sz w:val="18"/>
              </w:rPr>
              <w:t>l)</w:t>
            </w:r>
          </w:p>
          <w:p>
            <w:pPr>
              <w:spacing w:before="0" w:after="0"/>
              <w:ind w:left="735"/>
              <w:jc w:val="left"/>
            </w:pPr>
            <w:r>
              <w:rPr>
                <w:rFonts w:ascii="Arial" w:hAnsi="Arial"/>
                <w:b w:val="false"/>
                <w:i w:val="false"/>
                <w:color w:val="333333"/>
                <w:sz w:val="18"/>
              </w:rPr>
              <w:t>Les rejets radioactifs en situation normale et accidentelle et les limites opérationnelles prévues; une proposition de programme de surveillance de l'environnement sur et hors site.</w:t>
            </w:r>
          </w:p>
          <w:p>
            <w:pPr>
              <w:spacing w:before="0" w:after="0"/>
              <w:ind w:left="435"/>
              <w:jc w:val="left"/>
            </w:pPr>
            <w:r>
              <w:rPr>
                <w:rFonts w:ascii="Arial" w:hAnsi="Arial"/>
                <w:b w:val="false"/>
                <w:i w:val="false"/>
                <w:color w:val="333333"/>
                <w:sz w:val="18"/>
              </w:rPr>
              <w:t>m)</w:t>
            </w:r>
          </w:p>
          <w:p>
            <w:pPr>
              <w:spacing w:before="0" w:after="0"/>
              <w:ind w:left="735"/>
              <w:jc w:val="left"/>
            </w:pPr>
            <w:r>
              <w:rPr>
                <w:rFonts w:ascii="Arial" w:hAnsi="Arial"/>
                <w:b w:val="false"/>
                <w:i w:val="false"/>
                <w:color w:val="333333"/>
                <w:sz w:val="18"/>
              </w:rPr>
              <w:t>Préparation aux situations d'urgence: actions au niveau du site et liaison/coordination avec des organisations externes.</w:t>
            </w:r>
          </w:p>
          <w:p>
            <w:pPr>
              <w:spacing w:before="0" w:after="0"/>
              <w:ind w:left="435"/>
              <w:jc w:val="left"/>
            </w:pPr>
            <w:r>
              <w:rPr>
                <w:rFonts w:ascii="Arial" w:hAnsi="Arial"/>
                <w:b w:val="false"/>
                <w:i w:val="false"/>
                <w:color w:val="333333"/>
                <w:sz w:val="18"/>
              </w:rPr>
              <w:t>n)</w:t>
            </w:r>
          </w:p>
          <w:p>
            <w:pPr>
              <w:spacing w:before="0" w:after="0"/>
              <w:ind w:left="735"/>
              <w:jc w:val="left"/>
            </w:pPr>
            <w:r>
              <w:rPr>
                <w:rFonts w:ascii="Arial" w:hAnsi="Arial"/>
                <w:b w:val="false"/>
                <w:i w:val="false"/>
                <w:color w:val="333333"/>
                <w:sz w:val="18"/>
              </w:rPr>
              <w:t>le sous-dossier déchets radioactifs et le sous-dossier démantèlement visés à l'article 5.8.</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description du planning et des phases de la construction de l'établissement et de la fabrication de ses composants, ainsi que les points d'arrêts et les points de contrôle de l'exploitant.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 la planification et des principes du programme de tests et de contrôle dans le cadre de la réception de l'établissement;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L'engagement de souscrire une police d'assurance couvrant les responsabilités civiles résultant des activités nucléaires.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la décision de l'Agence sur la demande exemption des dispositions relatives à l'évaluation des incidences sur l'environnement, conformément à l'article 6.1bis.2;</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conformément à l'article 6.1bis.1, un rapport d'évaluation des incidences sur l'environnement ou une note de screening ainsi que l'avis de l'Agence visé à l'article 6.1bis.3, § 2.</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Si l'article 37 du traité EURATOM est d'application, une note contenant les “données générales” telles que définies dans la recommandation 2010/635/Euratom de la Commission européenne du 11 octobre 2010 sur l'application de l'article 37 du traité Euratom.</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 Consultations préalables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6.3.1 Evaluation de sûreté de l'Agence, avis de l'ONDRAF et avis préalable provisoire du Conseil scientifique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l'Agence constate que la demande d'autorisation introduite est incomplète, elle en informe le demandeur. Le demandeur fournit les informations complémentaires demandées à l'Agence dans les meilleurs délais.</w:t>
            </w:r>
          </w:p>
          <w:p>
            <w:pPr>
              <w:spacing w:before="0" w:after="0"/>
              <w:ind w:left="45"/>
              <w:jc w:val="left"/>
            </w:pPr>
            <w:r>
              <w:rPr>
                <w:rFonts w:ascii="Arial" w:hAnsi="Arial"/>
                <w:b w:val="false"/>
                <w:i w:val="false"/>
                <w:color w:val="333333"/>
                <w:sz w:val="18"/>
              </w:rPr>
              <w:t>Quand la demande d'autorisation est déclarée complète: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l'Agence en effectue une évaluation indépendante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l'Agence transmet les sous-dossiers déchets radioactifs et démantèlement à l'ONDRAF en lui demandant d'émettre un avis.</w:t>
            </w:r>
          </w:p>
          <w:p>
            <w:pPr>
              <w:spacing w:before="60" w:after="60"/>
              <w:ind w:left="45"/>
              <w:jc w:val="left"/>
            </w:pPr>
            <w:r>
              <w:rPr>
                <w:rFonts w:ascii="Arial" w:hAnsi="Arial"/>
                <w:b w:val="false"/>
                <w:i w:val="false"/>
                <w:color w:val="333333"/>
                <w:sz w:val="18"/>
              </w:rPr>
              <w:t>L'ONDRAF dispose d'un délai de cinquante jours calendrier à dater de la réception des sous-dossiers pour remettre à l'Agence son avis motivé sur les aspects qui relèvent de sa compétence, ou d'un délai plus long dont la justification est approuvée par l'Agence.</w:t>
            </w:r>
          </w:p>
          <w:p>
            <w:pPr>
              <w:spacing w:before="60" w:after="60"/>
              <w:ind w:left="45"/>
              <w:jc w:val="left"/>
            </w:pPr>
            <w:r>
              <w:rPr>
                <w:rFonts w:ascii="Arial" w:hAnsi="Arial"/>
                <w:b w:val="false"/>
                <w:i w:val="false"/>
                <w:color w:val="333333"/>
                <w:sz w:val="18"/>
              </w:rPr>
              <w:t>Si l'ONDRAF n'émet pas d'avis dans le délai imparti, il est supposé que l'établissement projeté ne donne lieu à aucune remarque en ce qui le concerne.</w:t>
            </w:r>
          </w:p>
          <w:p>
            <w:pPr>
              <w:spacing w:before="60" w:after="60"/>
              <w:ind w:left="45"/>
              <w:jc w:val="left"/>
            </w:pPr>
            <w:r>
              <w:rPr>
                <w:rFonts w:ascii="Arial" w:hAnsi="Arial"/>
                <w:b w:val="false"/>
                <w:i w:val="false"/>
                <w:color w:val="333333"/>
                <w:sz w:val="18"/>
              </w:rPr>
              <w:t>Après réception de l'avis motivé de l'ONDRAF, ou à l'expiration du délai imparti, et sur base de l'évaluation de sûreté, l'Agence instruit la demande et établit un rapport à destination du Conseil scientifique.</w:t>
            </w:r>
          </w:p>
          <w:p>
            <w:pPr>
              <w:spacing w:before="60" w:after="60"/>
              <w:ind w:left="45"/>
              <w:jc w:val="left"/>
            </w:pPr>
            <w:r>
              <w:rPr>
                <w:rFonts w:ascii="Arial" w:hAnsi="Arial"/>
                <w:b w:val="false"/>
                <w:i w:val="false"/>
                <w:color w:val="333333"/>
                <w:sz w:val="18"/>
              </w:rPr>
              <w:t>L'Agence transmet au Conseil scientifique le dossier d'autorisation accompagné de son rapport et, le cas échéant, de l'avis motivé de l'ONDRAF et de l'évaluation de sûreté.</w:t>
            </w:r>
          </w:p>
          <w:p>
            <w:pPr>
              <w:spacing w:before="60" w:after="60"/>
              <w:ind w:left="45"/>
              <w:jc w:val="left"/>
            </w:pPr>
            <w:r>
              <w:rPr>
                <w:rFonts w:ascii="Arial" w:hAnsi="Arial"/>
                <w:b w:val="false"/>
                <w:i w:val="false"/>
                <w:color w:val="333333"/>
                <w:sz w:val="18"/>
              </w:rPr>
              <w:t>Le Conseil scientifique peut exiger que le demandeur lui fasse connaître l'avis de tout expert ou organisme national, international ou étranger sur les aspects généraux ou particuliers de la sûreté de l'établissement ou de ses incidences sur l'environnement. Il peut également solliciter directement ce même avis.</w:t>
            </w:r>
          </w:p>
          <w:p>
            <w:pPr>
              <w:spacing w:before="60" w:after="60"/>
              <w:ind w:left="45"/>
              <w:jc w:val="left"/>
            </w:pPr>
            <w:r>
              <w:rPr>
                <w:rFonts w:ascii="Arial" w:hAnsi="Arial"/>
                <w:b w:val="false"/>
                <w:i w:val="false"/>
                <w:color w:val="333333"/>
                <w:sz w:val="18"/>
              </w:rPr>
              <w:t>Le Conseil peut convoquer et entendre le demandeur.</w:t>
            </w:r>
          </w:p>
          <w:p>
            <w:pPr>
              <w:spacing w:before="60" w:after="60"/>
              <w:ind w:left="45"/>
              <w:jc w:val="left"/>
            </w:pPr>
            <w:r>
              <w:rPr>
                <w:rFonts w:ascii="Arial" w:hAnsi="Arial"/>
                <w:b w:val="false"/>
                <w:i w:val="false"/>
                <w:color w:val="333333"/>
                <w:sz w:val="18"/>
              </w:rPr>
              <w:t>Le Conseil émet un avis préalable provisoire. Si cet avis est favorable, il peut comporter des conditions particulières non prévues au présent règlement, que le Conseil estime nécessaire d'imposer en vue d'assurer la sûreté de l'établissement et de limiter ses incidences sur l'environnement.</w:t>
            </w:r>
          </w:p>
          <w:p>
            <w:pPr>
              <w:spacing w:before="60" w:after="60"/>
              <w:ind w:left="45"/>
              <w:jc w:val="left"/>
            </w:pPr>
            <w:r>
              <w:rPr>
                <w:rFonts w:ascii="Arial" w:hAnsi="Arial"/>
                <w:b w:val="false"/>
                <w:i w:val="false"/>
                <w:color w:val="333333"/>
                <w:sz w:val="18"/>
              </w:rPr>
              <w:t>L'Agence communique l'avis préalable provisoire du Conseil scientifique au demandeur par pli recommandé à la poste. Le demandeur dispose d'un délai de trente jours calendrier à partir de la notification pour introduire ses remarques éventuelles. A sa demande, ce délai peut être prolongé par l'Agence.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Dès que le demandeur a fait savoir qu'il n'a pas de remarques relatives à l'avis préalable provisoire du Conseil scientifique, ou dès qu'il a introduit un dossier modifié en fonction de l'avis préalable provisoire du Conseil scientifique, ou à l'expiration du délai prévu au dernier alinéa du paragraphe 1</w:t>
            </w:r>
            <w:r>
              <w:rPr>
                <w:rFonts w:ascii="Arial" w:hAnsi="Arial"/>
                <w:b w:val="false"/>
                <w:i w:val="false"/>
                <w:color w:val="333333"/>
                <w:sz w:val="18"/>
                <w:vertAlign w:val="superscript"/>
              </w:rPr>
              <w:t>er</w:t>
            </w:r>
            <w:r>
              <w:rPr>
                <w:rFonts w:ascii="Arial" w:hAnsi="Arial"/>
                <w:b w:val="false"/>
                <w:i w:val="false"/>
                <w:color w:val="333333"/>
                <w:sz w:val="18"/>
              </w:rPr>
              <w:t xml:space="preserve"> sans que le demandeur n'ait communiqué de remarques, une procédure d'enquête publique est initiée conformément à la procédure décrite à l'article 6.3.3.</w:t>
            </w:r>
          </w:p>
          <w:p>
            <w:pPr>
              <w:spacing w:before="0" w:after="0"/>
              <w:ind w:left="45"/>
              <w:jc w:val="left"/>
            </w:pPr>
            <w:r>
              <w:rPr>
                <w:rFonts w:ascii="Arial" w:hAnsi="Arial"/>
                <w:b w:val="false"/>
                <w:i w:val="false"/>
                <w:color w:val="333333"/>
                <w:sz w:val="18"/>
              </w:rPr>
              <w:t>Un dossier, composé de la demande d'autorisation et de l'avis préalable du Conseil Scientifique, est transmis en même temps pour avis: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aux instances consultatives suivant la procédure décrite à l'article 6.3.4;</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aux autorités compétentes des Etats membres de l'Union européenne, aux parties contractantes de la Convention sur l'évaluation de l'impact sur l'environnement dans un contexte transfrontière signée à Espoo le 25 février 1991 et aux régions concernées suivant la procédure décrite à l'article 6.4, si l'Agence constate la possibilité d'incidences transfrontalières ou transrégionales notables conformément à l'article 27/5, § 6 de la loi du 15 avril 1994.</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6.3.2 Consultations de la Commission européenne </w:t>
            </w:r>
          </w:p>
          <w:p>
            <w:pPr>
              <w:spacing w:before="60" w:after="60"/>
              <w:ind w:left="45"/>
              <w:jc w:val="left"/>
            </w:pPr>
            <w:r>
              <w:rPr>
                <w:rFonts w:ascii="Arial" w:hAnsi="Arial"/>
                <w:b w:val="false"/>
                <w:i w:val="false"/>
                <w:color w:val="333333"/>
                <w:sz w:val="18"/>
              </w:rPr>
              <w:t>Dans les cas prévus à l'article 37 du traité Euratom, l'Agence sollicite l'avis de la Commission européenne.</w:t>
            </w:r>
          </w:p>
          <w:p>
            <w:pPr>
              <w:spacing w:before="60" w:after="60"/>
              <w:ind w:left="45"/>
              <w:jc w:val="left"/>
            </w:pPr>
            <w:r>
              <w:rPr>
                <w:rFonts w:ascii="Arial" w:hAnsi="Arial"/>
                <w:b w:val="false"/>
                <w:i w:val="false"/>
                <w:color w:val="333333"/>
                <w:sz w:val="18"/>
              </w:rPr>
              <w:t>Le Conseil scientifique peut consulter la Commission européenne sur les aspects généraux ou particuliers de la sûreté de l'établissement ou de ses incidences sur l'environnement.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6.3.3 Enquête publique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Durant l'enquête publique, l'Agence met le dossier à disposition sous forme physique ou numérique pour consultation dans ses bureaux. Le même dossier est en outre mis à disposition sous forme physique ou numérique pour consultation auprès de la commune où l'objet de la demande est situé.</w:t>
            </w:r>
          </w:p>
          <w:p>
            <w:pPr>
              <w:spacing w:before="60" w:after="60"/>
              <w:ind w:left="45"/>
              <w:jc w:val="left"/>
            </w:pPr>
            <w:r>
              <w:rPr>
                <w:rFonts w:ascii="Arial" w:hAnsi="Arial"/>
                <w:b w:val="false"/>
                <w:i w:val="false"/>
                <w:color w:val="333333"/>
                <w:sz w:val="18"/>
              </w:rPr>
              <w:t>Le dossier est également mis à disposition par l'Agence sous forme numérique sur le site web de l'Agence.</w:t>
            </w:r>
          </w:p>
          <w:p>
            <w:pPr>
              <w:spacing w:before="60" w:after="60"/>
              <w:ind w:left="45"/>
              <w:jc w:val="left"/>
            </w:pPr>
            <w:r>
              <w:rPr>
                <w:rFonts w:ascii="Arial" w:hAnsi="Arial"/>
                <w:b w:val="false"/>
                <w:i w:val="false"/>
                <w:color w:val="333333"/>
                <w:sz w:val="18"/>
              </w:rPr>
              <w:t>Si le dossier comprend un rapport d'évaluation des incidences sur l'environnement, l'enquête publique porte également sur le contenu de ce rapport, à moins que ce rapport n'ait déjà été approuvé et qu'il soit toujours d'actualité.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L'enquête publique est annoncée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affiche apposée au siège d'exploitation par la commune concernée;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publication d'un avis sur le site Internet des communes situées à une distance de moins de de 5 km de l'objet de la demande;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publication d'un avis sur le site internet de l'Agence;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 xml:space="preserve">la publication d'un avis au </w:t>
            </w:r>
            <w:r>
              <w:rPr>
                <w:rFonts w:ascii="Arial" w:hAnsi="Arial"/>
                <w:b w:val="false"/>
                <w:i/>
                <w:color w:val="333333"/>
                <w:sz w:val="18"/>
              </w:rPr>
              <w:t>Moniteur belge</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La publication des avis a lieu au plus tard la veille du début de l'enquête publique.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L'avis comporte au moins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succincte de l'objet de la demande;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l'emplacement de l'objet de la demande;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nom du demandeur ou de l'exploitant. Lorsque la demande est signée par une personne physique au nom d'une personne morale, seul le nom de la personne morale est mentionné;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l'autorité auprès de laquelle des renseignements pertinents peuvent être obtenus, et ses coordonnées;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date de début et de fin de l'enquête publique;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les lieux où le dossier peut être consulté durant l'enquête publique, ainsi que les modalités de consultation;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la possibilité d'introduire des points de vue, observations et objections sur le dossier, ainsi que les conditions et modalités de leur introduction;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 cas échéant, une référence aux enquêtes publiques précédemment tenues.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L'enquête publique prend cours à la date indiquée par l'Agence et se déroule sur une période de trente jours calendrier.</w:t>
            </w:r>
          </w:p>
          <w:p>
            <w:pPr>
              <w:spacing w:before="60" w:after="60"/>
              <w:ind w:left="45"/>
              <w:jc w:val="left"/>
            </w:pPr>
            <w:r>
              <w:rPr>
                <w:rFonts w:ascii="Arial" w:hAnsi="Arial"/>
                <w:b w:val="false"/>
                <w:i w:val="false"/>
                <w:color w:val="333333"/>
                <w:sz w:val="18"/>
              </w:rPr>
              <w:t>Durant la période de l'enquête publique, toute personne physique ou morale peut communiquer ses points de vue, observations et objections à l'Agence par voie écrite.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6.3.4 Instances consultatives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l'Agence adresse le dossier sous forme numérique imprimable pour avis aux instances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collèges des bourgmestres et échevins des communes situées à une distance de moins de 5 km de l'objet de la demande;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provinces se trouvant à une distance de moins de 5 km de l'objet de la demande;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Région flamande si l'objet de la demande est situé en Région flamande ou s'il est situé à une distance de moins de 5 km de la Région flamande;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Région wallonne si l'objet de la demande est situé en Région wallonne ou s'il est situé à une distance de moins de 5 km de la Région wallonne;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Région de Bruxelles-Capitale si l'objet de la demande est situé en Région de Bruxelles-Capitale ou s'il est situé à une distance de moins de 5 km de la Région de Bruxelles-Capitale.</w:t>
            </w:r>
          </w:p>
          <w:p>
            <w:pPr>
              <w:spacing w:before="60" w:after="60"/>
              <w:ind w:left="45"/>
              <w:jc w:val="left"/>
            </w:pPr>
            <w:r>
              <w:rPr>
                <w:rFonts w:ascii="Arial" w:hAnsi="Arial"/>
                <w:b w:val="false"/>
                <w:i w:val="false"/>
                <w:color w:val="333333"/>
                <w:sz w:val="18"/>
              </w:rPr>
              <w:t>Si le dossier comprend un rapport d'évaluation des incidences sur l'environnement, la demande d'avis porte également sur le contenu de ce rapport, à moins que ce rapport n'ait déjà été approuvé et qu'il soit toujours d'actualité.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instances consultatives visées au premier paragraphe rendent leur avis dans un délai de trente jours calendrier. Ce délai prend cours le jour suivant la réception de la demande d'avis.</w:t>
            </w:r>
          </w:p>
          <w:p>
            <w:pPr>
              <w:spacing w:before="60" w:after="60"/>
              <w:ind w:left="45"/>
              <w:jc w:val="left"/>
            </w:pPr>
            <w:r>
              <w:rPr>
                <w:rFonts w:ascii="Arial" w:hAnsi="Arial"/>
                <w:b w:val="false"/>
                <w:i w:val="false"/>
                <w:color w:val="333333"/>
                <w:sz w:val="18"/>
              </w:rPr>
              <w:t>En l'absence d'avis rendu dans le délai imparti, l'avis est réputé favorable.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6.4 Incidences sur l'environnement transfrontalières ou transrégionales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l'Agence constate la possibilité d'incidences transfrontalières ou transrégionales notables conformément à l'art. 27/5 § 6 de la loi du 15 avril 1994, le dossier est mis à disposition sous forme numérique imprimable des autorités compétentes des Etats membres de l'Union européenne, à la partie contractante à la Convention sur l'évaluation de l'impact sur l'environnement dans un contexte transfrontière, signée à Espoo le 25 février 1991, et/ou des régions concernées.</w:t>
            </w:r>
          </w:p>
          <w:p>
            <w:pPr>
              <w:spacing w:before="60" w:after="60"/>
              <w:ind w:left="45"/>
              <w:jc w:val="left"/>
            </w:pPr>
            <w:r>
              <w:rPr>
                <w:rFonts w:ascii="Arial" w:hAnsi="Arial"/>
                <w:b w:val="false"/>
                <w:i w:val="false"/>
                <w:color w:val="333333"/>
                <w:sz w:val="18"/>
              </w:rPr>
              <w:t>L'Agence transmet l'avis visé à l'article 6.3.3, § 3, le plus tôt possible, et au plus tard la veille du début de l'enquête publique aux autorités compétentes des États membres de l'Union européenne, à la partie contractante à la Convention sur l'évaluation de l'impact sur l'environnement dans un contexte transfrontière, signée à Espoo le 25 février 1991, et aux régions concernées.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Les habitants intéressés de la région concernée, de l'Etat membre de l'Union européenne concerné ou de la partie contractante à la Convention sur l'évaluation de l'impact sur l'environnement dans un contexte transfrontière, signée à Espoo le 25 février 1991, concernée peuvent prendre part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l'enquête publique visée à l'article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l'enquête publique que l'autorité compétente organise éventuellement sur son propre territoire sur la base du dossier reçu.</w:t>
            </w:r>
          </w:p>
          <w:p>
            <w:pPr>
              <w:spacing w:before="60" w:after="60"/>
              <w:ind w:left="45"/>
              <w:jc w:val="left"/>
            </w:pPr>
            <w:r>
              <w:rPr>
                <w:rFonts w:ascii="Arial" w:hAnsi="Arial"/>
                <w:b w:val="false"/>
                <w:i w:val="false"/>
                <w:color w:val="333333"/>
                <w:sz w:val="18"/>
              </w:rPr>
              <w:t>Les autorités compétentes communiquent simultanément à l'Agence leurs observations éventuelles de même que les résultats de l'enquête publique qu'elles ont éventuellement organisée, dans un délai de cinquante jours calendrier suivant la date de la mise à disposition visée au paragraphe 1.</w:t>
            </w:r>
          </w:p>
          <w:p>
            <w:pPr>
              <w:spacing w:before="60" w:after="60"/>
              <w:ind w:left="45"/>
              <w:jc w:val="left"/>
            </w:pPr>
            <w:r>
              <w:rPr>
                <w:rFonts w:ascii="Arial" w:hAnsi="Arial"/>
                <w:b w:val="false"/>
                <w:i w:val="false"/>
                <w:color w:val="333333"/>
                <w:sz w:val="18"/>
              </w:rPr>
              <w:t>La demande d'avis porte également sur le contenu du rapport d'évaluation des incidences sur l'environnement, à moins que ce rapport n'ait déjà été approuvé et qu'il soit toujours d'actualité.</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L'Agence consulte les régions concernées ou les Etats membres de l'Union européenne concernés ou les parties contractantes à la Convention sur l'évaluation de l'impact sur l'environnement dans un contexte transfrontière, signée à Espoo le 25 février 1991, concernée sur entre autres les incidences transfrontalières ou transrégionales potentielles de l'établissement et sur les mesures envisagées pour réduire ou éliminer ces incidences, et convient avec celles-ci d'un délai raisonnable dans lequel la consultation doit avoir lieu.</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6.5 Décision de l'Agence sur le rapport d'évaluation des incidences sur l'environnement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Si la demande d'autorisation comprend un rapport d'évaluation des incidences sur l'environnement et si celui-ci n'a pas déjà été approuvé ou s'il n'est plus d'actualité, l'Agence approuve ou refuse le rapport d'évaluation des incidences sur l'environnement en tenant compte: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résultats de l'enquête publique, réalisée conformément à l'art.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 avis des instances consultatives visées à l'art.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de la consultation transfrontalière ou transrégionale réalisée conformément à l'art. 6.4.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Si l'Agence estime que des mesures de surveillance doivent être prises par le demandeur, celles-ci sont précisées dans la décision de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6.6 Avis définitif du Conseil scientifique </w:t>
            </w:r>
          </w:p>
          <w:p>
            <w:pPr>
              <w:spacing w:before="60" w:after="60"/>
              <w:ind w:left="45"/>
              <w:jc w:val="left"/>
            </w:pPr>
            <w:r>
              <w:rPr>
                <w:rFonts w:ascii="Arial" w:hAnsi="Arial"/>
                <w:b w:val="false"/>
                <w:i w:val="false"/>
                <w:color w:val="333333"/>
                <w:sz w:val="18"/>
              </w:rPr>
              <w:t>L'Agence établit un rapport dans lequel elle expose son analyse de la demande d'autorisation et les résultats des consultations, visées aux articles 6.3.2, 6.3.3, 6.3.4 et, le cas échéant, 6.4.</w:t>
            </w:r>
          </w:p>
          <w:p>
            <w:pPr>
              <w:spacing w:before="60" w:after="60"/>
              <w:ind w:left="45"/>
              <w:jc w:val="left"/>
            </w:pPr>
            <w:r>
              <w:rPr>
                <w:rFonts w:ascii="Arial" w:hAnsi="Arial"/>
                <w:b w:val="false"/>
                <w:i w:val="false"/>
                <w:color w:val="333333"/>
                <w:sz w:val="18"/>
              </w:rPr>
              <w:t>L'Agence soumet ce rapport au Conseil scientifique qui émet un avis provisoire motivé.</w:t>
            </w:r>
          </w:p>
          <w:p>
            <w:pPr>
              <w:spacing w:before="60" w:after="60"/>
              <w:ind w:left="45"/>
              <w:jc w:val="left"/>
            </w:pPr>
            <w:r>
              <w:rPr>
                <w:rFonts w:ascii="Arial" w:hAnsi="Arial"/>
                <w:b w:val="false"/>
                <w:i w:val="false"/>
                <w:color w:val="333333"/>
                <w:sz w:val="18"/>
              </w:rPr>
              <w:t>L'avis du Conseil scientifique doit être donné dans un délai de nonante jours calendrier à dater de la réception du rapport de l'Agence, ou dans un délai plus long que le Conseil est tenu de justifier.</w:t>
            </w:r>
          </w:p>
          <w:p>
            <w:pPr>
              <w:spacing w:before="60" w:after="60"/>
              <w:ind w:left="45"/>
              <w:jc w:val="left"/>
            </w:pPr>
            <w:r>
              <w:rPr>
                <w:rFonts w:ascii="Arial" w:hAnsi="Arial"/>
                <w:b w:val="false"/>
                <w:i w:val="false"/>
                <w:color w:val="333333"/>
                <w:sz w:val="18"/>
              </w:rPr>
              <w:t>L'Agence communique immédiatement au demandeur l'avis du Conseil scientifique, sous pli recommandé à la poste. Si cet avis est favorable, il peut comporter des conditions particulières non prévues au présent règlement, que le Conseil estime nécessaire d'imposer en vue d'assurer la sûreté de l'établissement et de limiter ses incidences sur l'environnement.</w:t>
            </w:r>
          </w:p>
          <w:p>
            <w:pPr>
              <w:spacing w:before="60" w:after="60"/>
              <w:ind w:left="45"/>
              <w:jc w:val="left"/>
            </w:pPr>
            <w:r>
              <w:rPr>
                <w:rFonts w:ascii="Arial" w:hAnsi="Arial"/>
                <w:b w:val="false"/>
                <w:i w:val="false"/>
                <w:color w:val="333333"/>
                <w:sz w:val="18"/>
              </w:rPr>
              <w:t>Le demandeur dispose d'un délai de trente jours calendrier à partir de la notification pour introduire ses remarques éventuelles. A sa demande, ce délai peut être prolongé par l'Agence. Il est entendu par le Conseil scientifique s'il en a fait la demande dans le même délai.</w:t>
            </w:r>
          </w:p>
          <w:p>
            <w:pPr>
              <w:spacing w:before="60" w:after="60"/>
              <w:ind w:left="45"/>
              <w:jc w:val="left"/>
            </w:pPr>
            <w:r>
              <w:rPr>
                <w:rFonts w:ascii="Arial" w:hAnsi="Arial"/>
                <w:b w:val="false"/>
                <w:i w:val="false"/>
                <w:color w:val="333333"/>
                <w:sz w:val="18"/>
              </w:rPr>
              <w:t>L'avis du Conseil scientifique est considéré comme définitif si, dans le délai imparti, le demandeur ne formule pas de remarques ou dès qu'il fait connaître qu'il n'a pas de remarques.</w:t>
            </w:r>
          </w:p>
          <w:p>
            <w:pPr>
              <w:spacing w:before="60" w:after="60"/>
              <w:ind w:left="45"/>
              <w:jc w:val="left"/>
            </w:pPr>
            <w:r>
              <w:rPr>
                <w:rFonts w:ascii="Arial" w:hAnsi="Arial"/>
                <w:b w:val="false"/>
                <w:i w:val="false"/>
                <w:color w:val="333333"/>
                <w:sz w:val="18"/>
              </w:rPr>
              <w:t>Si le demandeur émet des remarques, le Conseil scientifique délibère à nouveau et donne un avis définitif. Si cet avis définitif est favorable, il peut, compte tenu des remarques du demandeur, comporter des conditions particulières qui ne sont pas encore reprises dans l'avis provisoire motivé visé à l'alinéa 2, ci-dessus.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6.7 Décision </w:t>
            </w:r>
          </w:p>
          <w:p>
            <w:pPr>
              <w:spacing w:before="60" w:after="60"/>
              <w:ind w:left="45"/>
              <w:jc w:val="left"/>
            </w:pPr>
            <w:r>
              <w:rPr>
                <w:rFonts w:ascii="Arial" w:hAnsi="Arial"/>
                <w:b w:val="false"/>
                <w:i w:val="false"/>
                <w:color w:val="333333"/>
                <w:sz w:val="18"/>
              </w:rPr>
              <w:t>L'Agence transmet une proposition de décision sans délai au Ministre qui a l'intérieur dans ses attributions.</w:t>
            </w:r>
          </w:p>
          <w:p>
            <w:pPr>
              <w:spacing w:before="60" w:after="60"/>
              <w:ind w:left="45"/>
              <w:jc w:val="left"/>
            </w:pPr>
            <w:r>
              <w:rPr>
                <w:rFonts w:ascii="Arial" w:hAnsi="Arial"/>
                <w:b w:val="false"/>
                <w:i w:val="false"/>
                <w:color w:val="333333"/>
                <w:sz w:val="18"/>
              </w:rPr>
              <w:t>Notre décision prise sous forme d'arrêté est contresignée par le Ministre qui a l'intérieur dans ses attributions.</w:t>
            </w:r>
          </w:p>
          <w:p>
            <w:pPr>
              <w:spacing w:before="60" w:after="60"/>
              <w:ind w:left="45"/>
              <w:jc w:val="left"/>
            </w:pPr>
            <w:r>
              <w:rPr>
                <w:rFonts w:ascii="Arial" w:hAnsi="Arial"/>
                <w:b w:val="false"/>
                <w:i w:val="false"/>
                <w:color w:val="333333"/>
                <w:sz w:val="18"/>
              </w:rPr>
              <w:t>Lorsque la décision s'écarte de l'avis du Conseil Scientifique l'arrêté mentionne explicitement les raisons pour lesquelles l'avis n'a pas été suivi.</w:t>
            </w:r>
          </w:p>
          <w:p>
            <w:pPr>
              <w:spacing w:before="0" w:after="0"/>
              <w:ind w:left="45"/>
              <w:jc w:val="left"/>
            </w:pPr>
            <w:r>
              <w:rPr>
                <w:rFonts w:ascii="Arial" w:hAnsi="Arial"/>
                <w:b w:val="false"/>
                <w:i w:val="false"/>
                <w:color w:val="333333"/>
                <w:sz w:val="18"/>
              </w:rPr>
              <w:t>L'autorisation de création et d'exploitation fixe dans tous les cas: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concise de l'établissement à construire et de sa localisation;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documents de référence formant la base de l'autorisation de l'établissement et le fondement de l'exploitation sûre de celui-ci;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l'inventaire radiologique maximal, le terme source, et la puissance ou la capacité d'entreposage couverte par l'autorisation;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conditions à respecter par l'exploitant durant la construction et l'aménagement de l'établissement, la fabrication de ses composants et la réception de l'établissement, y compris les points d'arrêt et les points de contrôle nécessitant l'intervention de l'Agence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dans quelle mesure et sous quelles conditions des substances radioactives peuvent être introduites avant que la réception n'ait eu lieu.</w:t>
            </w:r>
          </w:p>
          <w:p>
            <w:pPr>
              <w:spacing w:before="0" w:after="0"/>
              <w:ind w:left="45"/>
              <w:jc w:val="left"/>
            </w:pPr>
            <w:r>
              <w:rPr>
                <w:rFonts w:ascii="Arial" w:hAnsi="Arial"/>
                <w:b w:val="false"/>
                <w:i w:val="false"/>
                <w:color w:val="333333"/>
                <w:sz w:val="18"/>
              </w:rPr>
              <w:t>Lorsqu'un rapport d'évaluation des incidences sur l'environnement est établi, l'autorisation de création et d'exploitation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décision motivée de l'Agence, visée à l'article 6.1bis.6 ou 6.5;</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 toutes les caractéristiques du projet ou des mesures envisagées pour éviter, prévenir ou réduire et, si possible, compenser les incidences négatives notables sur l'environnement ainsi que, le cas échéant, des mesures de surveillance;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les procédures de suivi des incidences négatives notables sur l'environnement qui doivent être mises en œuvre par le demandeur.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 Notification de la décision </w:t>
            </w:r>
          </w:p>
          <w:p>
            <w:pPr>
              <w:spacing w:before="0" w:after="0"/>
              <w:ind w:left="45"/>
              <w:jc w:val="left"/>
            </w:pPr>
            <w:r>
              <w:rPr>
                <w:rFonts w:ascii="Arial" w:hAnsi="Arial"/>
                <w:b w:val="false"/>
                <w:i w:val="false"/>
                <w:color w:val="333333"/>
                <w:sz w:val="18"/>
              </w:rPr>
              <w:t>Notre décision est communiquée à l'Agence qui en informe le Conseil scientifique. L'Agence en transmet copie: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demandeur, sous pli recommandé à la poste;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aux instances consultées en vertu de l'art.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 bourgmestre de chaque commune visée à l'art. 6.3.3, qui procède à la publication de la décision sur le site internet de la commune et à l'affichage de la décision au siège d'exploitation s'il est situé sur le territoire de sa commune;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directeur de la Direction Contrôle du bien-être au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au président du comité de direction du Service public fédéral Intérieur;</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au directeur général de l'ONDRAF;</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 cas échéant, aux Etats de l'union européenne, aux parties contractantes à la Convention d'Espoo et aux régions informés en vertu de l'article 6.4;</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à la Direction Générale Environnement, en cas de consultation de la Commission européenne;</w:t>
            </w:r>
          </w:p>
          <w:p>
            <w:pPr>
              <w:spacing w:before="60" w:after="60"/>
              <w:ind w:left="45"/>
              <w:jc w:val="left"/>
            </w:pPr>
            <w:r>
              <w:rPr>
                <w:rFonts w:ascii="Arial" w:hAnsi="Arial"/>
                <w:b w:val="false"/>
                <w:i w:val="false"/>
                <w:color w:val="333333"/>
                <w:sz w:val="18"/>
              </w:rPr>
              <w:t xml:space="preserve">Un extrait de la décision est publié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6.9 Arrêté de confirmation de l'autorisation de création et d'exploitation des établissements de classe I </w:t>
            </w:r>
          </w:p>
          <w:p>
            <w:pPr>
              <w:spacing w:before="60" w:after="60"/>
              <w:ind w:left="45"/>
              <w:jc w:val="left"/>
            </w:pPr>
            <w:r>
              <w:rPr>
                <w:rFonts w:ascii="Arial" w:hAnsi="Arial"/>
                <w:b w:val="false"/>
                <w:i w:val="false"/>
                <w:color w:val="333333"/>
                <w:sz w:val="18"/>
              </w:rPr>
              <w:t>L'autorisation accordée, en vertu de l'article 6.7, comporte pour l'exploitant le droit d'entreprendre sous sa responsabilité les constructions et l'aménagement des installations, conformément aux termes de l'autorisation accordée.</w:t>
            </w:r>
          </w:p>
          <w:p>
            <w:pPr>
              <w:spacing w:before="60" w:after="60"/>
              <w:ind w:left="45"/>
              <w:jc w:val="left"/>
            </w:pPr>
            <w:r>
              <w:rPr>
                <w:rFonts w:ascii="Arial" w:hAnsi="Arial"/>
                <w:b w:val="false"/>
                <w:i w:val="false"/>
                <w:color w:val="333333"/>
                <w:sz w:val="18"/>
              </w:rPr>
              <w:t>Avant la mise en exploitation totale ou partielle d'un établissement de classe I et, l'Agence effectue une évaluation de sûreté de la réception réalisée suivant les dispositions de l'article 23.1.5, b), point 4. L'exploitant fournit à l'Agence les rapports et documents nécessaires à cette fin.</w:t>
            </w:r>
          </w:p>
          <w:p>
            <w:pPr>
              <w:spacing w:before="60" w:after="60"/>
              <w:ind w:left="45"/>
              <w:jc w:val="left"/>
            </w:pPr>
            <w:r>
              <w:rPr>
                <w:rFonts w:ascii="Arial" w:hAnsi="Arial"/>
                <w:b w:val="false"/>
                <w:i w:val="false"/>
                <w:color w:val="333333"/>
                <w:sz w:val="18"/>
              </w:rPr>
              <w:t>Sur base de l'évaluation de sûreté, l'Agence établit un rapport de réception.</w:t>
            </w:r>
          </w:p>
          <w:p>
            <w:pPr>
              <w:spacing w:before="60" w:after="60"/>
              <w:ind w:left="45"/>
              <w:jc w:val="left"/>
            </w:pPr>
            <w:r>
              <w:rPr>
                <w:rFonts w:ascii="Arial" w:hAnsi="Arial"/>
                <w:b w:val="false"/>
                <w:i w:val="false"/>
                <w:color w:val="333333"/>
                <w:sz w:val="18"/>
              </w:rPr>
              <w:t>Si l'Agence ne peut établir un rapport de réception entièrement favorable, l'Agence en informe au préalable l'exploitant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L'Agence transmet sans délai le rapport de réception favorable et ses conclusions au Ministre qui a l'intérieur dans ses attributions. Le Ministre propose au Roi de confirmer l'autorisation de création et d'exploitation.</w:t>
            </w:r>
          </w:p>
          <w:p>
            <w:pPr>
              <w:spacing w:before="60" w:after="60"/>
              <w:ind w:left="45"/>
              <w:jc w:val="left"/>
            </w:pPr>
            <w:r>
              <w:rPr>
                <w:rFonts w:ascii="Arial" w:hAnsi="Arial"/>
                <w:b w:val="false"/>
                <w:i w:val="false"/>
                <w:color w:val="333333"/>
                <w:sz w:val="18"/>
              </w:rPr>
              <w:t>La mise en exploitation d'une partie de l'établissement ne peut avoir lieu avant que le Roi n'ait confirmé l'autorisation de création et d'exploitation pour cette partie de l'établissement.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