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41 Periodieke veiligheidsherzieningen voor opslaginstallaties</w:t>
            </w:r>
          </w:p>
          <w:p>
            <w:pPr>
              <w:spacing w:before="60" w:after="60"/>
              <w:ind w:left="45"/>
              <w:jc w:val="left"/>
            </w:pPr>
            <w:r>
              <w:rPr>
                <w:rFonts w:ascii="Arial" w:hAnsi="Arial"/>
                <w:b w:val="false"/>
                <w:i w:val="false"/>
                <w:color w:val="333333"/>
                <w:sz w:val="18"/>
              </w:rPr>
              <w:t>In het kader van de periodieke veiligheidsherzieningen moeten tevens de conformiteitscriteria voor verbruikte kernbrandstof of voor colli met radioactief afval geëvalueerd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41 Révisions périodiques de sûreté des installations d'entreposage</w:t>
            </w:r>
          </w:p>
          <w:p>
            <w:pPr>
              <w:spacing w:before="60" w:after="60"/>
              <w:ind w:left="45"/>
              <w:jc w:val="left"/>
            </w:pPr>
            <w:r>
              <w:rPr>
                <w:rFonts w:ascii="Arial" w:hAnsi="Arial"/>
                <w:b w:val="false"/>
                <w:i w:val="false"/>
                <w:color w:val="333333"/>
                <w:sz w:val="18"/>
              </w:rPr>
              <w:t>Les critères de conformité relatifs au combustible nucléaire usé ou aux colis de déchets radioactifs doivent également être évalués lors des révisions périodiques de sûreté.</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