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36 Uitbating</w:t>
            </w:r>
          </w:p>
          <w:p>
            <w:pPr>
              <w:spacing w:before="60" w:after="60"/>
              <w:ind w:left="45"/>
              <w:jc w:val="left"/>
            </w:pPr>
            <w:r>
              <w:rPr>
                <w:rFonts w:ascii="Arial" w:hAnsi="Arial"/>
                <w:b w:val="false"/>
                <w:i w:val="false"/>
                <w:color w:val="333333"/>
                <w:sz w:val="18"/>
              </w:rPr>
              <w:t>De opslaginstallatie moet zo worden uitgebaat dat de verbruikte kernbrandstof of de colli met radioactief afval geïnspecteerd kunnen worden overeenkomstig het toezichtsprogramma beschreven in artikel 38.</w:t>
            </w:r>
          </w:p>
          <w:p>
            <w:pPr>
              <w:spacing w:before="60" w:after="60"/>
              <w:ind w:left="45"/>
              <w:jc w:val="left"/>
            </w:pPr>
            <w:r>
              <w:rPr>
                <w:rFonts w:ascii="Arial" w:hAnsi="Arial"/>
                <w:b w:val="false"/>
                <w:i w:val="false"/>
                <w:color w:val="333333"/>
                <w:sz w:val="18"/>
              </w:rPr>
              <w:t>De exploitant dient te waken over het goed beheer en de beschikbaarheid van een aanvullende opslagcapaciteit, volgens de bepalingen van artikel 34, lid 7.</w:t>
            </w:r>
          </w:p>
          <w:p>
            <w:pPr>
              <w:spacing w:before="60" w:after="60"/>
              <w:ind w:left="45"/>
              <w:jc w:val="left"/>
            </w:pPr>
            <w:r>
              <w:rPr>
                <w:rFonts w:ascii="Arial" w:hAnsi="Arial"/>
                <w:b w:val="false"/>
                <w:i w:val="false"/>
                <w:color w:val="333333"/>
                <w:sz w:val="18"/>
              </w:rPr>
              <w:t>Voor de bestaande installaties, kan een alternatieve opslaginstallatie worden gebruikt indien deze een aanvaardbaar veiligheidsniveau waarborgt.</w:t>
            </w:r>
          </w:p>
          <w:p>
            <w:pPr>
              <w:spacing w:before="60" w:after="60"/>
              <w:ind w:left="45"/>
              <w:jc w:val="left"/>
            </w:pPr>
            <w:r>
              <w:rPr>
                <w:rFonts w:ascii="Arial" w:hAnsi="Arial"/>
                <w:b w:val="false"/>
                <w:i w:val="false"/>
                <w:color w:val="333333"/>
                <w:sz w:val="18"/>
              </w:rPr>
              <w:t>De plaatsing, de activiteit en concentratie aan radioactieve stoffen, de chemische en fysische aard, de oorsprong, het volume en de massa van de verbruikte kernbrandstof of van de colli met radioactief afval die zich in de opslaginstallatie bevinden, moeten systematisch worden geïnventariseerd. Deze gegevens moeten worden bijgehouden en ter beschikking gehouden van de veiligheidsautoriteit.</w:t>
            </w:r>
          </w:p>
          <w:p>
            <w:pPr>
              <w:spacing w:before="60" w:after="60"/>
              <w:ind w:left="45"/>
              <w:jc w:val="left"/>
            </w:pPr>
            <w:r>
              <w:rPr>
                <w:rFonts w:ascii="Arial" w:hAnsi="Arial"/>
                <w:b w:val="false"/>
                <w:i w:val="false"/>
                <w:color w:val="333333"/>
                <w:sz w:val="18"/>
              </w:rPr>
              <w:t>De verbruikte kernbrandstof of de colli met radioactief afval worden op eenduidige wijze geïdentificeerd met behulp van een markeringssysteem dat geldig is voor de ganse duur van de opslag.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36 Exploitation</w:t>
            </w:r>
          </w:p>
          <w:p>
            <w:pPr>
              <w:spacing w:before="60" w:after="60"/>
              <w:ind w:left="45"/>
              <w:jc w:val="left"/>
            </w:pPr>
            <w:r>
              <w:rPr>
                <w:rFonts w:ascii="Arial" w:hAnsi="Arial"/>
                <w:b w:val="false"/>
                <w:i w:val="false"/>
                <w:color w:val="333333"/>
                <w:sz w:val="18"/>
              </w:rPr>
              <w:t>L'installation d'entreposage doit être exploitée de manière à ce que le combustible nucléaire usé ou les colis de déchets radioactifs puissent être inspectés en concordance avec le programme de surveillance décrit à l'article 38.</w:t>
            </w:r>
          </w:p>
          <w:p>
            <w:pPr>
              <w:spacing w:before="60" w:after="60"/>
              <w:ind w:left="45"/>
              <w:jc w:val="left"/>
            </w:pPr>
            <w:r>
              <w:rPr>
                <w:rFonts w:ascii="Arial" w:hAnsi="Arial"/>
                <w:b w:val="false"/>
                <w:i w:val="false"/>
                <w:color w:val="333333"/>
                <w:sz w:val="18"/>
              </w:rPr>
              <w:t>L'exploitant doit veiller à la bonne gestion et à la disponibilité d'une capacité d'entreposage supplémentaire suivant les dispositions de l'article 34, alinéa 7.</w:t>
            </w:r>
          </w:p>
          <w:p>
            <w:pPr>
              <w:spacing w:before="60" w:after="60"/>
              <w:ind w:left="45"/>
              <w:jc w:val="left"/>
            </w:pPr>
            <w:r>
              <w:rPr>
                <w:rFonts w:ascii="Arial" w:hAnsi="Arial"/>
                <w:b w:val="false"/>
                <w:i w:val="false"/>
                <w:color w:val="333333"/>
                <w:sz w:val="18"/>
              </w:rPr>
              <w:t>Pour les installations existantes, une installation d'entreposage alternative peut être utilisée si elle assure un niveau de sûreté acceptable.</w:t>
            </w:r>
          </w:p>
          <w:p>
            <w:pPr>
              <w:spacing w:before="60" w:after="60"/>
              <w:ind w:left="45"/>
              <w:jc w:val="left"/>
            </w:pPr>
            <w:r>
              <w:rPr>
                <w:rFonts w:ascii="Arial" w:hAnsi="Arial"/>
                <w:b w:val="false"/>
                <w:i w:val="false"/>
                <w:color w:val="333333"/>
                <w:sz w:val="18"/>
              </w:rPr>
              <w:t>L'emplacement, l'activité, la concentration en substances radioactives, la nature chimique et physique, l'origine, le volume et la masse du combustible nucléaire usé ou des colis de déchets radioactifs qui se trouvent dans l'installation d'entreposage doivent être répertoriés systématiquement. Ces données doivent être tenues à jour et mises à la disposition de l'autorité de sûreté.</w:t>
            </w:r>
          </w:p>
          <w:p>
            <w:pPr>
              <w:spacing w:before="60" w:after="60"/>
              <w:ind w:left="45"/>
              <w:jc w:val="left"/>
            </w:pPr>
            <w:r>
              <w:rPr>
                <w:rFonts w:ascii="Arial" w:hAnsi="Arial"/>
                <w:b w:val="false"/>
                <w:i w:val="false"/>
                <w:color w:val="333333"/>
                <w:sz w:val="18"/>
              </w:rPr>
              <w:t>Le combustible nucléaire usé ou les colis de déchets radioactifs sont identifiés de manière unique au moyen d'un système de marquage valable pour toute la durée d'entreposage.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