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Système d'analyse des évènements et retour d'expérience d'exploitation</w:t>
            </w:r>
          </w:p>
          <w:p>
            <w:pPr>
              <w:spacing w:before="0" w:after="0"/>
              <w:ind w:left="45"/>
              <w:jc w:val="left"/>
            </w:pPr>
          </w:p>
          <w:p>
            <w:pPr>
              <w:spacing w:before="0" w:after="0"/>
              <w:ind w:left="45"/>
              <w:jc w:val="left"/>
            </w:pPr>
            <w:r>
              <w:rPr>
                <w:rFonts w:ascii="Arial" w:hAnsi="Arial"/>
                <w:b w:val="false"/>
                <w:i w:val="false"/>
                <w:color w:val="333333"/>
                <w:sz w:val="18"/>
              </w:rPr>
              <w:t xml:space="preserve">11.1 Généralités </w:t>
            </w:r>
          </w:p>
          <w:p>
            <w:pPr>
              <w:spacing w:before="60" w:after="60"/>
              <w:ind w:left="45"/>
              <w:jc w:val="left"/>
            </w:pPr>
            <w:r>
              <w:rPr>
                <w:rFonts w:ascii="Arial" w:hAnsi="Arial"/>
                <w:b w:val="false"/>
                <w:i w:val="false"/>
                <w:color w:val="333333"/>
                <w:sz w:val="18"/>
              </w:rPr>
              <w:t>L'exploitant établit et met en œuvre un programme de gestion du retour d'expérience qui lui permet de recueillir, d'analyser et de documenter systématiquement les données relatives aux événements qui se produisent pendant l'exploitation de son installation.</w:t>
            </w:r>
          </w:p>
          <w:p>
            <w:pPr>
              <w:spacing w:before="60" w:after="60"/>
              <w:ind w:left="45"/>
              <w:jc w:val="left"/>
            </w:pPr>
            <w:r>
              <w:rPr>
                <w:rFonts w:ascii="Arial" w:hAnsi="Arial"/>
                <w:b w:val="false"/>
                <w:i w:val="false"/>
                <w:color w:val="333333"/>
                <w:sz w:val="18"/>
              </w:rPr>
              <w:t>Les données de retour d'expérience et d'événements qui se produisent dans d'autres installations similaires sont également recueillies et analysées. La pertinence de ces événements et leurs implications sur l'installation sont étudiées. Les exploitants échangent activement des données par le biais d'organisations nationales et internationales.</w:t>
            </w:r>
          </w:p>
          <w:p>
            <w:pPr>
              <w:spacing w:before="60" w:after="60"/>
              <w:ind w:left="45"/>
              <w:jc w:val="left"/>
            </w:pPr>
            <w:r>
              <w:rPr>
                <w:rFonts w:ascii="Arial" w:hAnsi="Arial"/>
                <w:b w:val="false"/>
                <w:i w:val="false"/>
                <w:color w:val="333333"/>
                <w:sz w:val="18"/>
              </w:rPr>
              <w:t>Le processus de gestion du retour d'expérience visera à permettre d'identifier toute défaillance latente ayant un impact potentiel sur la sûreté nucléaire, tout signe précurseur d'événement ou toute tendance ou évolution progressive qui laisseraient présager une diminution de la sûreté nucléaire.</w:t>
            </w:r>
          </w:p>
          <w:p>
            <w:pPr>
              <w:spacing w:before="60" w:after="60"/>
              <w:ind w:left="45"/>
              <w:jc w:val="left"/>
            </w:pPr>
            <w:r>
              <w:rPr>
                <w:rFonts w:ascii="Arial" w:hAnsi="Arial"/>
                <w:b w:val="false"/>
                <w:i w:val="false"/>
                <w:color w:val="333333"/>
                <w:sz w:val="18"/>
              </w:rPr>
              <w:t>[Une attention particulière doit être accordée aux événements susceptibles d'affecter l'atteinte de l'objectif de sûreté nucléaire visé à l'article 3/1.]</w:t>
            </w:r>
          </w:p>
          <w:p>
            <w:pPr>
              <w:spacing w:before="0" w:after="0"/>
              <w:ind w:left="45"/>
              <w:jc w:val="left"/>
            </w:pPr>
          </w:p>
          <w:p>
            <w:pPr>
              <w:spacing w:before="0" w:after="0"/>
              <w:ind w:left="45"/>
              <w:jc w:val="left"/>
            </w:pPr>
            <w:r>
              <w:rPr>
                <w:rFonts w:ascii="Arial" w:hAnsi="Arial"/>
                <w:b w:val="false"/>
                <w:i w:val="false"/>
                <w:color w:val="333333"/>
                <w:sz w:val="18"/>
              </w:rPr>
              <w:t xml:space="preserve">11.2 Organisation </w:t>
            </w:r>
          </w:p>
          <w:p>
            <w:pPr>
              <w:spacing w:before="60" w:after="60"/>
              <w:ind w:left="45"/>
              <w:jc w:val="left"/>
            </w:pPr>
            <w:r>
              <w:rPr>
                <w:rFonts w:ascii="Arial" w:hAnsi="Arial"/>
                <w:b w:val="false"/>
                <w:i w:val="false"/>
                <w:color w:val="333333"/>
                <w:sz w:val="18"/>
              </w:rPr>
              <w:t>L'exploitant définira, tenant compte des différents services concernés, les responsabilités et l'organisation en matière de gestion du retour d'expérience.</w:t>
            </w:r>
          </w:p>
          <w:p>
            <w:pPr>
              <w:spacing w:before="60" w:after="60"/>
              <w:ind w:left="45"/>
              <w:jc w:val="left"/>
            </w:pPr>
            <w:r>
              <w:rPr>
                <w:rFonts w:ascii="Arial" w:hAnsi="Arial"/>
                <w:b w:val="false"/>
                <w:i w:val="false"/>
                <w:color w:val="333333"/>
                <w:sz w:val="18"/>
              </w:rPr>
              <w:t>L'exploitant veille à mettre à disposition les ressources, moyens et compétences nécessaires à l'analyse des événements.</w:t>
            </w:r>
          </w:p>
          <w:p>
            <w:pPr>
              <w:spacing w:before="60" w:after="60"/>
              <w:ind w:left="45"/>
              <w:jc w:val="left"/>
            </w:pPr>
            <w:r>
              <w:rPr>
                <w:rFonts w:ascii="Arial" w:hAnsi="Arial"/>
                <w:b w:val="false"/>
                <w:i w:val="false"/>
                <w:color w:val="333333"/>
                <w:sz w:val="18"/>
              </w:rPr>
              <w:t>L'exploitant sollicite les organisations impliquées au niveau de la conception et de la construction de ses installations pour obtenir, en cas de besoin, tout retour d'expérience, tout avis ou toute information pratique en cas de défaut de l'équipement ou d'événement anormal.</w:t>
            </w:r>
          </w:p>
          <w:p>
            <w:pPr>
              <w:spacing w:before="60" w:after="60"/>
              <w:ind w:left="45"/>
              <w:jc w:val="left"/>
            </w:pPr>
            <w:r>
              <w:rPr>
                <w:rFonts w:ascii="Arial" w:hAnsi="Arial"/>
                <w:b w:val="false"/>
                <w:i w:val="false"/>
                <w:color w:val="333333"/>
                <w:sz w:val="18"/>
              </w:rPr>
              <w:t>Le personnel d'encadrement de l'installation est activement impliqué dans le programme de gestion du retour d'expérience, notamment au niveau de l'analyse des événements et de l'approbation des actions préventives et correctrices. Les événements ou tendances significatives sont rapportés à la direction de l'établissement.</w:t>
            </w:r>
          </w:p>
          <w:p>
            <w:pPr>
              <w:spacing w:before="0" w:after="0"/>
              <w:ind w:left="45"/>
              <w:jc w:val="left"/>
            </w:pPr>
          </w:p>
          <w:p>
            <w:pPr>
              <w:spacing w:before="0" w:after="0"/>
              <w:ind w:left="45"/>
              <w:jc w:val="left"/>
            </w:pPr>
            <w:r>
              <w:rPr>
                <w:rFonts w:ascii="Arial" w:hAnsi="Arial"/>
                <w:b w:val="false"/>
                <w:i w:val="false"/>
                <w:color w:val="333333"/>
                <w:sz w:val="18"/>
              </w:rPr>
              <w:t xml:space="preserve">11.3 Evaluation, analyse et actions correctrices </w:t>
            </w:r>
          </w:p>
          <w:p>
            <w:pPr>
              <w:spacing w:before="60" w:after="60"/>
              <w:ind w:left="45"/>
              <w:jc w:val="left"/>
            </w:pPr>
            <w:r>
              <w:rPr>
                <w:rFonts w:ascii="Arial" w:hAnsi="Arial"/>
                <w:b w:val="false"/>
                <w:i w:val="false"/>
                <w:color w:val="333333"/>
                <w:sz w:val="18"/>
              </w:rPr>
              <w:t>Pour chaque événement significatif sur le plan de la sûreté nucléaire, une première évaluation est immédiatement effectuée afin de déterminer si des actions urgentes s'imposent.</w:t>
            </w:r>
          </w:p>
          <w:p>
            <w:pPr>
              <w:spacing w:before="60" w:after="60"/>
              <w:ind w:left="45"/>
              <w:jc w:val="left"/>
            </w:pPr>
            <w:r>
              <w:rPr>
                <w:rFonts w:ascii="Arial" w:hAnsi="Arial"/>
                <w:b w:val="false"/>
                <w:i w:val="false"/>
                <w:color w:val="333333"/>
                <w:sz w:val="18"/>
              </w:rPr>
              <w:t>Pour tous les événements (significatifs ou non en termes de sûreté nucléaire), une évaluation et si nécessaire une analyse détaillée sont réalisées dans un délai approprié.</w:t>
            </w:r>
          </w:p>
          <w:p>
            <w:pPr>
              <w:spacing w:before="60" w:after="60"/>
              <w:ind w:left="45"/>
              <w:jc w:val="left"/>
            </w:pPr>
            <w:r>
              <w:rPr>
                <w:rFonts w:ascii="Arial" w:hAnsi="Arial"/>
                <w:b w:val="false"/>
                <w:i w:val="false"/>
                <w:color w:val="333333"/>
                <w:sz w:val="18"/>
              </w:rPr>
              <w:t>Les processus d'analyse et d'évaluation, y compris les méthodologies d'analyse, seront décrits dans des procédures, en particulier pour l'analyse du facteur humain.</w:t>
            </w:r>
          </w:p>
          <w:p>
            <w:pPr>
              <w:spacing w:before="0" w:after="0"/>
              <w:ind w:left="45"/>
              <w:jc w:val="left"/>
            </w:pPr>
            <w:r>
              <w:rPr>
                <w:rFonts w:ascii="Arial" w:hAnsi="Arial"/>
                <w:b w:val="false"/>
                <w:i w:val="false"/>
                <w:color w:val="333333"/>
                <w:sz w:val="18"/>
              </w:rPr>
              <w:t>L'analyse comporte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détaillée de l'événement avec sa chronologie, les données du contexte...;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analyse des causes directes et des causes profondes;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évaluation des conséquences potentielles et de l'impact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actions correctrices.</w:t>
            </w:r>
          </w:p>
          <w:p>
            <w:pPr>
              <w:spacing w:before="60" w:after="60"/>
              <w:ind w:left="45"/>
              <w:jc w:val="left"/>
            </w:pPr>
            <w:r>
              <w:rPr>
                <w:rFonts w:ascii="Arial" w:hAnsi="Arial"/>
                <w:b w:val="false"/>
                <w:i w:val="false"/>
                <w:color w:val="333333"/>
                <w:sz w:val="18"/>
              </w:rPr>
              <w:t>Sur base de l'évaluation et de l'analyse des événements, des actions correctrices au niveau technique, ou administratif, ou de la formation du personnel sont définies. La direction en assure l'implémentation dans un délai approprié afin de corriger la situation, de prévenir la répétition de l'événement, d'en mitiger les conséquences, et d'une manière générale de renforcer la sûreté nucléaire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11.4 Documentation et système de gestion </w:t>
            </w:r>
          </w:p>
          <w:p>
            <w:pPr>
              <w:spacing w:before="60" w:after="60"/>
              <w:ind w:left="45"/>
              <w:jc w:val="left"/>
            </w:pPr>
            <w:r>
              <w:rPr>
                <w:rFonts w:ascii="Arial" w:hAnsi="Arial"/>
                <w:b w:val="false"/>
                <w:i w:val="false"/>
                <w:color w:val="333333"/>
                <w:sz w:val="18"/>
              </w:rPr>
              <w:t>Toute information ou donnée du programme de gestion du retour d'expérience (concernant l'exploitation en situation normale et en situation anormale ainsi que les événements) est systématiquement identifiée et enregistrée selon le processus en vigueur, de façon à permettre des recherches, études et analyses ultérieures aisées.</w:t>
            </w:r>
          </w:p>
          <w:p>
            <w:pPr>
              <w:spacing w:before="0" w:after="0"/>
              <w:ind w:left="45"/>
              <w:jc w:val="left"/>
            </w:pPr>
          </w:p>
          <w:p>
            <w:pPr>
              <w:spacing w:before="0" w:after="0"/>
              <w:ind w:left="45"/>
              <w:jc w:val="left"/>
            </w:pPr>
            <w:r>
              <w:rPr>
                <w:rFonts w:ascii="Arial" w:hAnsi="Arial"/>
                <w:b w:val="false"/>
                <w:i w:val="false"/>
                <w:color w:val="333333"/>
                <w:sz w:val="18"/>
              </w:rPr>
              <w:t xml:space="preserve">11.5 Notification et diffusion des informations </w:t>
            </w:r>
          </w:p>
          <w:p>
            <w:pPr>
              <w:spacing w:before="60" w:after="60"/>
              <w:ind w:left="45"/>
              <w:jc w:val="left"/>
            </w:pPr>
            <w:r>
              <w:rPr>
                <w:rFonts w:ascii="Arial" w:hAnsi="Arial"/>
                <w:b w:val="false"/>
                <w:i w:val="false"/>
                <w:color w:val="333333"/>
                <w:sz w:val="18"/>
              </w:rPr>
              <w:t>Un processus est mis en place pour permettre à l'exploitant de notifier aux autorités tout événement significatif conformément à des modalités et critères définis.</w:t>
            </w:r>
          </w:p>
          <w:p>
            <w:pPr>
              <w:spacing w:before="60" w:after="60"/>
              <w:ind w:left="45"/>
              <w:jc w:val="left"/>
            </w:pPr>
            <w:r>
              <w:rPr>
                <w:rFonts w:ascii="Arial" w:hAnsi="Arial"/>
                <w:b w:val="false"/>
                <w:i w:val="false"/>
                <w:color w:val="333333"/>
                <w:sz w:val="18"/>
              </w:rPr>
              <w:t>Le personnel est activement encouragé à être attentif à toute situation ou événement inhabituel ou anormal et à en dresser rapport selon les critères et procédures en vigueur Chaque membre du personnel est encouragé à rapporter les évènements évités de peu ayant un impact potentiel sur la sûreté nucléaire de l'installation.</w:t>
            </w:r>
          </w:p>
          <w:p>
            <w:pPr>
              <w:spacing w:before="60" w:after="60"/>
              <w:ind w:left="45"/>
              <w:jc w:val="left"/>
            </w:pPr>
            <w:r>
              <w:rPr>
                <w:rFonts w:ascii="Arial" w:hAnsi="Arial"/>
                <w:b w:val="false"/>
                <w:i w:val="false"/>
                <w:color w:val="333333"/>
                <w:sz w:val="18"/>
              </w:rPr>
              <w:t>L'exploitant établit régulièrement un rapport récapitulatif des activités menées dans le cadre du programme de gestion du retour d'expérience. Ce rapport présente les événements internes et externes qui ont fait l'objet d'une analyse; les actions correctrices approuvées et l'état d'avancement de leur implémentation. Pour les actions correctrices en cours, le rapport récapitulatif indique une échéance pour leur implémentation.</w:t>
            </w:r>
          </w:p>
          <w:p>
            <w:pPr>
              <w:spacing w:before="60" w:after="60"/>
              <w:ind w:left="45"/>
              <w:jc w:val="left"/>
            </w:pPr>
            <w:r>
              <w:rPr>
                <w:rFonts w:ascii="Arial" w:hAnsi="Arial"/>
                <w:b w:val="false"/>
                <w:i w:val="false"/>
                <w:color w:val="333333"/>
                <w:sz w:val="18"/>
              </w:rPr>
              <w:t>Un processus est mis en place afin que les résultats de la gestion du retour d'expérience soient utilisés dans le programme de formation du personnel concerné.</w:t>
            </w:r>
          </w:p>
          <w:p>
            <w:pPr>
              <w:spacing w:before="0" w:after="0"/>
              <w:ind w:left="45"/>
              <w:jc w:val="left"/>
            </w:pPr>
          </w:p>
          <w:p>
            <w:pPr>
              <w:spacing w:before="0" w:after="0"/>
              <w:ind w:left="45"/>
              <w:jc w:val="left"/>
            </w:pPr>
            <w:r>
              <w:rPr>
                <w:rFonts w:ascii="Arial" w:hAnsi="Arial"/>
                <w:b w:val="false"/>
                <w:i w:val="false"/>
                <w:color w:val="333333"/>
                <w:sz w:val="18"/>
              </w:rPr>
              <w:t xml:space="preserve">11.6 Révision et amélioration continue de la gestion du retour d'expérience </w:t>
            </w:r>
          </w:p>
          <w:p>
            <w:pPr>
              <w:spacing w:before="60" w:after="60"/>
              <w:ind w:left="45"/>
              <w:jc w:val="left"/>
            </w:pPr>
            <w:r>
              <w:rPr>
                <w:rFonts w:ascii="Arial" w:hAnsi="Arial"/>
                <w:b w:val="false"/>
                <w:i w:val="false"/>
                <w:color w:val="333333"/>
                <w:sz w:val="18"/>
              </w:rPr>
              <w:t>L'exploitant examine périodiquement, par une évaluation indépendante, interne ou externe, et à l'aide de critères de performance, l'organisation de la gestion du retour d'expérience, l'application des procédures, ainsi que l'implémentation et l'efficacité des actions correctrices. Les améliorations nécessaires sont apportées à l'organisation et aux procédures sur base de ces évaluations.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Systeem voor de analyse van voorvallen en de ervarings-feedback over de uitbating</w:t>
            </w:r>
          </w:p>
          <w:p>
            <w:pPr>
              <w:spacing w:before="0" w:after="0"/>
              <w:ind w:left="45"/>
              <w:jc w:val="left"/>
            </w:pPr>
          </w:p>
          <w:p>
            <w:pPr>
              <w:spacing w:before="0" w:after="0"/>
              <w:ind w:left="45"/>
              <w:jc w:val="left"/>
            </w:pPr>
            <w:r>
              <w:rPr>
                <w:rFonts w:ascii="Arial" w:hAnsi="Arial"/>
                <w:b w:val="false"/>
                <w:i w:val="false"/>
                <w:color w:val="333333"/>
                <w:sz w:val="18"/>
              </w:rPr>
              <w:t xml:space="preserve">11.1 Algemeen </w:t>
            </w:r>
          </w:p>
          <w:p>
            <w:pPr>
              <w:spacing w:before="60" w:after="60"/>
              <w:ind w:left="45"/>
              <w:jc w:val="left"/>
            </w:pPr>
            <w:r>
              <w:rPr>
                <w:rFonts w:ascii="Arial" w:hAnsi="Arial"/>
                <w:b w:val="false"/>
                <w:i w:val="false"/>
                <w:color w:val="333333"/>
                <w:sz w:val="18"/>
              </w:rPr>
              <w:t>De exploitant stelt een programma op voor het beheer van de ervaringsfeedback en voert het uit. Dat laat hem toe om stelselmatig de gegevens m.b.t. de voorvallen die zich tijdens de uitbating in zijn installatie voordoen te verzamelen, te analyseren en te documenteren.</w:t>
            </w:r>
          </w:p>
          <w:p>
            <w:pPr>
              <w:spacing w:before="60" w:after="60"/>
              <w:ind w:left="45"/>
              <w:jc w:val="left"/>
            </w:pPr>
            <w:r>
              <w:rPr>
                <w:rFonts w:ascii="Arial" w:hAnsi="Arial"/>
                <w:b w:val="false"/>
                <w:i w:val="false"/>
                <w:color w:val="333333"/>
                <w:sz w:val="18"/>
              </w:rPr>
              <w:t>De gegevens m.b.t. de ervaringsfeedback en de voorvallen die zich in andere gelijkaardige installaties voordoen, worden eveneens verzameld en geanalyseerd. De relevantie van deze voorvallen en hun implicaties voor de installatie worden bestudeerd. De exploitanten wisselen actief gegevens uit via nationale en internationale organisaties.</w:t>
            </w:r>
          </w:p>
          <w:p>
            <w:pPr>
              <w:spacing w:before="60" w:after="60"/>
              <w:ind w:left="45"/>
              <w:jc w:val="left"/>
            </w:pPr>
            <w:r>
              <w:rPr>
                <w:rFonts w:ascii="Arial" w:hAnsi="Arial"/>
                <w:b w:val="false"/>
                <w:i w:val="false"/>
                <w:color w:val="333333"/>
                <w:sz w:val="18"/>
              </w:rPr>
              <w:t>Via het proces van het beheer van de ervaringsfeedback wordt beoogd dat een verborgen tekortkoming met een mogelijke impact op de nucleaire veiligheid geïdentificeerd wordt, evenals elk voorteken van een voorval, of elke trend of progressieve evolutie die op een vermindering van de nucleaire veiligheid zou kunnen duiden.</w:t>
            </w:r>
          </w:p>
          <w:p>
            <w:pPr>
              <w:spacing w:before="60" w:after="60"/>
              <w:ind w:left="45"/>
              <w:jc w:val="left"/>
            </w:pPr>
            <w:r>
              <w:rPr>
                <w:rFonts w:ascii="Arial" w:hAnsi="Arial"/>
                <w:b w:val="false"/>
                <w:i w:val="false"/>
                <w:color w:val="333333"/>
                <w:sz w:val="18"/>
              </w:rPr>
              <w:t>[Bijzondere aandacht moet worden besteed aan gebeurtenissen die de reikwijdte van de nucleaire veiligheidsdoelstelling, opgenomen in artikel 3/1, kunnen beïnvloeden.]</w:t>
            </w:r>
          </w:p>
          <w:p>
            <w:pPr>
              <w:spacing w:before="0" w:after="0"/>
              <w:ind w:left="45"/>
              <w:jc w:val="left"/>
            </w:pPr>
          </w:p>
          <w:p>
            <w:pPr>
              <w:spacing w:before="0" w:after="0"/>
              <w:ind w:left="45"/>
              <w:jc w:val="left"/>
            </w:pPr>
            <w:r>
              <w:rPr>
                <w:rFonts w:ascii="Arial" w:hAnsi="Arial"/>
                <w:b w:val="false"/>
                <w:i w:val="false"/>
                <w:color w:val="333333"/>
                <w:sz w:val="18"/>
              </w:rPr>
              <w:t xml:space="preserve">11.2 Organisatie </w:t>
            </w:r>
          </w:p>
          <w:p>
            <w:pPr>
              <w:spacing w:before="60" w:after="60"/>
              <w:ind w:left="45"/>
              <w:jc w:val="left"/>
            </w:pPr>
            <w:r>
              <w:rPr>
                <w:rFonts w:ascii="Arial" w:hAnsi="Arial"/>
                <w:b w:val="false"/>
                <w:i w:val="false"/>
                <w:color w:val="333333"/>
                <w:sz w:val="18"/>
              </w:rPr>
              <w:t>De exploitant legt, rekening houdend met de verschillende betrokken diensten, de verantwoordelijkheden en de organisatie vast m.b.t. het beheer van de ervaringsfeedback.</w:t>
            </w:r>
          </w:p>
          <w:p>
            <w:pPr>
              <w:spacing w:before="60" w:after="60"/>
              <w:ind w:left="45"/>
              <w:jc w:val="left"/>
            </w:pPr>
            <w:r>
              <w:rPr>
                <w:rFonts w:ascii="Arial" w:hAnsi="Arial"/>
                <w:b w:val="false"/>
                <w:i w:val="false"/>
                <w:color w:val="333333"/>
                <w:sz w:val="18"/>
              </w:rPr>
              <w:t>De exploitant waakt erover dat de voor de analyse van de voorvallen vereiste middelen, materialen en deskundigheid ter beschikking worden gesteld.</w:t>
            </w:r>
          </w:p>
          <w:p>
            <w:pPr>
              <w:spacing w:before="60" w:after="60"/>
              <w:ind w:left="45"/>
              <w:jc w:val="left"/>
            </w:pPr>
            <w:r>
              <w:rPr>
                <w:rFonts w:ascii="Arial" w:hAnsi="Arial"/>
                <w:b w:val="false"/>
                <w:i w:val="false"/>
                <w:color w:val="333333"/>
                <w:sz w:val="18"/>
              </w:rPr>
              <w:t>De exploitant raadpleegt de organisaties die betrokken zijn bij het ontwerp en de bouw van zijn installaties zodat hij, indien nodig, elke mogelijke ervaringsfeedback, elk advies of elke praktische informatie kan verkrijgen in geval van een defect aan de uitrusting of van een abnormale voorval.</w:t>
            </w:r>
          </w:p>
          <w:p>
            <w:pPr>
              <w:spacing w:before="60" w:after="60"/>
              <w:ind w:left="45"/>
              <w:jc w:val="left"/>
            </w:pPr>
            <w:r>
              <w:rPr>
                <w:rFonts w:ascii="Arial" w:hAnsi="Arial"/>
                <w:b w:val="false"/>
                <w:i w:val="false"/>
                <w:color w:val="333333"/>
                <w:sz w:val="18"/>
              </w:rPr>
              <w:t>Het leidinggevend personeel van de installatie is actief betrokken bij het programma voor het beheer van de ervaringsfeedback, in het bijzonder bij de analyse van de voorvallen en de goedkeuring van preventieve en corrigerende acties. Significante voorvallen of trend worden aan de directie van de inrichting gerapporteerd.</w:t>
            </w:r>
          </w:p>
          <w:p>
            <w:pPr>
              <w:spacing w:before="0" w:after="0"/>
              <w:ind w:left="45"/>
              <w:jc w:val="left"/>
            </w:pPr>
          </w:p>
          <w:p>
            <w:pPr>
              <w:spacing w:before="0" w:after="0"/>
              <w:ind w:left="45"/>
              <w:jc w:val="left"/>
            </w:pPr>
            <w:r>
              <w:rPr>
                <w:rFonts w:ascii="Arial" w:hAnsi="Arial"/>
                <w:b w:val="false"/>
                <w:i w:val="false"/>
                <w:color w:val="333333"/>
                <w:sz w:val="18"/>
              </w:rPr>
              <w:t xml:space="preserve">11.3 Evaluatie, analyse en corrigerende acties </w:t>
            </w:r>
          </w:p>
          <w:p>
            <w:pPr>
              <w:spacing w:before="60" w:after="60"/>
              <w:ind w:left="45"/>
              <w:jc w:val="left"/>
            </w:pPr>
            <w:r>
              <w:rPr>
                <w:rFonts w:ascii="Arial" w:hAnsi="Arial"/>
                <w:b w:val="false"/>
                <w:i w:val="false"/>
                <w:color w:val="333333"/>
                <w:sz w:val="18"/>
              </w:rPr>
              <w:t>Voor elke significant voorval op het gebied van de nucleaire veiligheid wordt er onmiddellijk een eerste evaluatie uitgevoerd om te bepalen of er dringende maatregelen moeten worden getroffen.</w:t>
            </w:r>
          </w:p>
          <w:p>
            <w:pPr>
              <w:spacing w:before="60" w:after="60"/>
              <w:ind w:left="45"/>
              <w:jc w:val="left"/>
            </w:pPr>
            <w:r>
              <w:rPr>
                <w:rFonts w:ascii="Arial" w:hAnsi="Arial"/>
                <w:b w:val="false"/>
                <w:i w:val="false"/>
                <w:color w:val="333333"/>
                <w:sz w:val="18"/>
              </w:rPr>
              <w:t>Voor alle (voor de nucleaire veiligheid al dan niet significante) voorvallen wordt binnen een gepaste termijn een evaluatie en, indien nodig, een gedetailleerde analyse uitgevoerd.</w:t>
            </w:r>
          </w:p>
          <w:p>
            <w:pPr>
              <w:spacing w:before="60" w:after="60"/>
              <w:ind w:left="45"/>
              <w:jc w:val="left"/>
            </w:pPr>
            <w:r>
              <w:rPr>
                <w:rFonts w:ascii="Arial" w:hAnsi="Arial"/>
                <w:b w:val="false"/>
                <w:i w:val="false"/>
                <w:color w:val="333333"/>
                <w:sz w:val="18"/>
              </w:rPr>
              <w:t>De analyse- en evaluatieprocessen, met inbegrip van de analysemethodologieën, in het bijzonder voor de analyse van de menselijke factor, worden in de procedures beschreven.</w:t>
            </w:r>
          </w:p>
          <w:p>
            <w:pPr>
              <w:spacing w:before="0" w:after="0"/>
              <w:ind w:left="45"/>
              <w:jc w:val="left"/>
            </w:pPr>
            <w:r>
              <w:rPr>
                <w:rFonts w:ascii="Arial" w:hAnsi="Arial"/>
                <w:b w:val="false"/>
                <w:i w:val="false"/>
                <w:color w:val="333333"/>
                <w:sz w:val="18"/>
              </w:rPr>
              <w:t>De analyse bevat de volgende elementen: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gedetailleerde beschrijving van het voorval met zijn chronologie, de context...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analyse van de rechtstreekse en grondoorzaken;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evaluatie van de mogelijke gevolgen en de impact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corrigerende acties.</w:t>
            </w:r>
          </w:p>
          <w:p>
            <w:pPr>
              <w:spacing w:before="60" w:after="60"/>
              <w:ind w:left="45"/>
              <w:jc w:val="left"/>
            </w:pPr>
            <w:r>
              <w:rPr>
                <w:rFonts w:ascii="Arial" w:hAnsi="Arial"/>
                <w:b w:val="false"/>
                <w:i w:val="false"/>
                <w:color w:val="333333"/>
                <w:sz w:val="18"/>
              </w:rPr>
              <w:t>Op basis van de evaluatie en de analyse van de voorvallen, worden er corrigerende acties op technisch of administratief vlak, of op het vlak van de opleiding van het personeel bepaald. De directie verzekert dat ze binnen een gepaste termijn geïmplementeerd worden om zo de situatie te corrigeren, te voorkomen dat de voorval zich herhaalt, de gevolgen ervan te milderen en de nucleaire veiligheid van de installatie in het algemeen te verhogen.</w:t>
            </w:r>
          </w:p>
          <w:p>
            <w:pPr>
              <w:spacing w:before="0" w:after="0"/>
              <w:ind w:left="45"/>
              <w:jc w:val="left"/>
            </w:pPr>
          </w:p>
          <w:p>
            <w:pPr>
              <w:spacing w:before="0" w:after="0"/>
              <w:ind w:left="45"/>
              <w:jc w:val="left"/>
            </w:pPr>
            <w:r>
              <w:rPr>
                <w:rFonts w:ascii="Arial" w:hAnsi="Arial"/>
                <w:b w:val="false"/>
                <w:i w:val="false"/>
                <w:color w:val="333333"/>
                <w:sz w:val="18"/>
              </w:rPr>
              <w:t xml:space="preserve">11.4 Documentatie en managementsysteem </w:t>
            </w:r>
          </w:p>
          <w:p>
            <w:pPr>
              <w:spacing w:before="60" w:after="60"/>
              <w:ind w:left="45"/>
              <w:jc w:val="left"/>
            </w:pPr>
            <w:r>
              <w:rPr>
                <w:rFonts w:ascii="Arial" w:hAnsi="Arial"/>
                <w:b w:val="false"/>
                <w:i w:val="false"/>
                <w:color w:val="333333"/>
                <w:sz w:val="18"/>
              </w:rPr>
              <w:t>Alle informatie of elk gegeven van het programma voor het beheer van de ervaringsfeedback (m.b.t. de uitbating in normale en abnormale omstandigheden en de voorvallen) wordt stelselmatig opgespoord en geregistreerd volgens het proces dat van kracht is, zodanig dat latere opzoekingen, studies en analyses makkelijk kunnen worden uitgevoerd.</w:t>
            </w:r>
          </w:p>
          <w:p>
            <w:pPr>
              <w:spacing w:before="0" w:after="0"/>
              <w:ind w:left="45"/>
              <w:jc w:val="left"/>
            </w:pPr>
          </w:p>
          <w:p>
            <w:pPr>
              <w:spacing w:before="0" w:after="0"/>
              <w:ind w:left="45"/>
              <w:jc w:val="left"/>
            </w:pPr>
            <w:r>
              <w:rPr>
                <w:rFonts w:ascii="Arial" w:hAnsi="Arial"/>
                <w:b w:val="false"/>
                <w:i w:val="false"/>
                <w:color w:val="333333"/>
                <w:sz w:val="18"/>
              </w:rPr>
              <w:t xml:space="preserve">11.5 Melding en verspreiding van informatie </w:t>
            </w:r>
          </w:p>
          <w:p>
            <w:pPr>
              <w:spacing w:before="60" w:after="60"/>
              <w:ind w:left="45"/>
              <w:jc w:val="left"/>
            </w:pPr>
            <w:r>
              <w:rPr>
                <w:rFonts w:ascii="Arial" w:hAnsi="Arial"/>
                <w:b w:val="false"/>
                <w:i w:val="false"/>
                <w:color w:val="333333"/>
                <w:sz w:val="18"/>
              </w:rPr>
              <w:t>Er wordt een proces ingevoerd waardoor de exploitant elk significant voorval, overeenkomstig de vastgelegde modaliteiten en criteria, aan de autoriteiten kan melden.</w:t>
            </w:r>
          </w:p>
          <w:p>
            <w:pPr>
              <w:spacing w:before="60" w:after="60"/>
              <w:ind w:left="45"/>
              <w:jc w:val="left"/>
            </w:pPr>
            <w:r>
              <w:rPr>
                <w:rFonts w:ascii="Arial" w:hAnsi="Arial"/>
                <w:b w:val="false"/>
                <w:i w:val="false"/>
                <w:color w:val="333333"/>
                <w:sz w:val="18"/>
              </w:rPr>
              <w:t>Het personeel wordt actief aangemoedigd om aandacht te hebben voor elke ongewone of abnormale situatie of voorval en hiervan een verslag op te stellen volgens de geldende criteria en procedures. Elk personeelslid wordt aangemoedigd om de schierincidenten met een mogelijke impact op de nucleaire veiligheid van de installatie te rapporteren.</w:t>
            </w:r>
          </w:p>
          <w:p>
            <w:pPr>
              <w:spacing w:before="60" w:after="60"/>
              <w:ind w:left="45"/>
              <w:jc w:val="left"/>
            </w:pPr>
            <w:r>
              <w:rPr>
                <w:rFonts w:ascii="Arial" w:hAnsi="Arial"/>
                <w:b w:val="false"/>
                <w:i w:val="false"/>
                <w:color w:val="333333"/>
                <w:sz w:val="18"/>
              </w:rPr>
              <w:t>De exploitant stelt regelmatig een samenvattend verslag op van de uitgevoerde activiteiten in het kader van het programma voor het beheer van de ervaringsfeedback. Dit verslag geeft een beeld van de interne en externe voorvallen die het voorwerp van een analyse hebben uitgemaakt, van de goedgekeurde corrigerende acties en de stand van zaken van hun implementatie. Voor de corrigerende acties die nog aan de gang zijn, wordt in het samenvattend verslag een einddatum voor hun uitvoering vermeld.</w:t>
            </w:r>
          </w:p>
          <w:p>
            <w:pPr>
              <w:spacing w:before="60" w:after="60"/>
              <w:ind w:left="45"/>
              <w:jc w:val="left"/>
            </w:pPr>
            <w:r>
              <w:rPr>
                <w:rFonts w:ascii="Arial" w:hAnsi="Arial"/>
                <w:b w:val="false"/>
                <w:i w:val="false"/>
                <w:color w:val="333333"/>
                <w:sz w:val="18"/>
              </w:rPr>
              <w:t>Er wordt een proces ingevoerd zodat de resultaten van het beheer van de ervaringsfeedback in het opleidingsprogramma voor het betrokken personeel gebruikt zouden kunnen worden.</w:t>
            </w:r>
          </w:p>
          <w:p>
            <w:pPr>
              <w:spacing w:before="0" w:after="0"/>
              <w:ind w:left="45"/>
              <w:jc w:val="left"/>
            </w:pPr>
          </w:p>
          <w:p>
            <w:pPr>
              <w:spacing w:before="0" w:after="0"/>
              <w:ind w:left="45"/>
              <w:jc w:val="left"/>
            </w:pPr>
            <w:r>
              <w:rPr>
                <w:rFonts w:ascii="Arial" w:hAnsi="Arial"/>
                <w:b w:val="false"/>
                <w:i w:val="false"/>
                <w:color w:val="333333"/>
                <w:sz w:val="18"/>
              </w:rPr>
              <w:t xml:space="preserve">11.6 Herziening en voortdurende verbetering van het beheer van de ervaringsfeedback </w:t>
            </w:r>
          </w:p>
          <w:p>
            <w:pPr>
              <w:spacing w:before="60" w:after="60"/>
              <w:ind w:left="45"/>
              <w:jc w:val="left"/>
            </w:pPr>
            <w:r>
              <w:rPr>
                <w:rFonts w:ascii="Arial" w:hAnsi="Arial"/>
                <w:b w:val="false"/>
                <w:i w:val="false"/>
                <w:color w:val="333333"/>
                <w:sz w:val="18"/>
              </w:rPr>
              <w:t>De exploitant onderzoekt periodiek, via een interne of externe onafhankelijke evaluatie en met behulp van prestatiecriteria de organisatie van het beheer van de ervaringsfeedback, de toepassing van de procedures, evenals de uitvoering en de doeltreffendheid van de corrigerende acties. De nodige verbeteringen worden op basis van deze evaluaties aan de organisatie en aan de procedures aangebracht.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