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25/03/57 Traité CE - version consol. après Traité de Lisbonne</w:t>
            </w:r>
            <w:r>
              <w:br/>
            </w:r>
            <w:r>
              <w:rPr>
                <w:rFonts w:ascii="Arial" w:hAnsi="Arial"/>
                <w:b/>
                <w:i w:val="false"/>
                <w:color w:val="333333"/>
              </w:rPr>
              <w:t xml:space="preserve">Traité du 25 mars 1957 sur le fonctionnement de l'Union européenne </w:t>
            </w:r>
          </w:p>
          <w:p>
            <w:pPr>
              <w:spacing w:before="0" w:after="0"/>
              <w:ind w:left="45"/>
              <w:jc w:val="left"/>
            </w:pPr>
            <w:r>
              <w:rPr>
                <w:rFonts w:ascii="Arial" w:hAnsi="Arial"/>
                <w:b w:val="false"/>
                <w:i w:val="false"/>
                <w:color w:val="333333"/>
                <w:sz w:val="18"/>
              </w:rPr>
              <w:t>Déterminés à établir les fondements d'une union sans cesse plus étroite entre les peuples européens,</w:t>
            </w:r>
          </w:p>
          <w:p>
            <w:pPr>
              <w:spacing w:before="0" w:after="0"/>
              <w:ind w:left="45"/>
              <w:jc w:val="left"/>
            </w:pPr>
            <w:r>
              <w:rPr>
                <w:rFonts w:ascii="Arial" w:hAnsi="Arial"/>
                <w:b w:val="false"/>
                <w:i w:val="false"/>
                <w:color w:val="333333"/>
                <w:sz w:val="18"/>
              </w:rPr>
              <w:t>Décidés à assurer par une action commune le progrès économique et social de leurs États en éliminant les barrières qui divisent l'Europe,</w:t>
            </w:r>
          </w:p>
          <w:p>
            <w:pPr>
              <w:spacing w:before="0" w:after="0"/>
              <w:ind w:left="45"/>
              <w:jc w:val="left"/>
            </w:pPr>
            <w:r>
              <w:rPr>
                <w:rFonts w:ascii="Arial" w:hAnsi="Arial"/>
                <w:b w:val="false"/>
                <w:i w:val="false"/>
                <w:color w:val="333333"/>
                <w:sz w:val="18"/>
              </w:rPr>
              <w:t>Assignant pour but essentiel à leurs efforts l'amélioration constante des conditions de vie et d'emploi de leurs peuples,</w:t>
            </w:r>
          </w:p>
          <w:p>
            <w:pPr>
              <w:spacing w:before="0" w:after="0"/>
              <w:ind w:left="45"/>
              <w:jc w:val="left"/>
            </w:pPr>
            <w:r>
              <w:rPr>
                <w:rFonts w:ascii="Arial" w:hAnsi="Arial"/>
                <w:b w:val="false"/>
                <w:i w:val="false"/>
                <w:color w:val="333333"/>
                <w:sz w:val="18"/>
              </w:rPr>
              <w:t>Reconnaissant que l'élimination des obstacles existants appelle une action concertée en vue de garantir la stabilité dans l'expansion, l'équilibre dans les échanges et la loyauté dans la concurrence,</w:t>
            </w:r>
          </w:p>
          <w:p>
            <w:pPr>
              <w:spacing w:before="0" w:after="0"/>
              <w:ind w:left="45"/>
              <w:jc w:val="left"/>
            </w:pPr>
            <w:r>
              <w:rPr>
                <w:rFonts w:ascii="Arial" w:hAnsi="Arial"/>
                <w:b w:val="false"/>
                <w:i w:val="false"/>
                <w:color w:val="333333"/>
                <w:sz w:val="18"/>
              </w:rPr>
              <w:t>Soucieux de renforcer l'unité de leurs économies et d'en assurer le développement harmonieux en réduisant l'écart entre les différentes régions et le retard des moins favorisées,</w:t>
            </w:r>
          </w:p>
          <w:p>
            <w:pPr>
              <w:spacing w:before="0" w:after="0"/>
              <w:ind w:left="45"/>
              <w:jc w:val="left"/>
            </w:pPr>
            <w:r>
              <w:rPr>
                <w:rFonts w:ascii="Arial" w:hAnsi="Arial"/>
                <w:b w:val="false"/>
                <w:i w:val="false"/>
                <w:color w:val="333333"/>
                <w:sz w:val="18"/>
              </w:rPr>
              <w:t>Désireux de contribuer, grâce à une politique commerciale commune, à la suppression progressive des restrictions aux échanges internationaux,</w:t>
            </w:r>
          </w:p>
          <w:p>
            <w:pPr>
              <w:spacing w:before="0" w:after="0"/>
              <w:ind w:left="45"/>
              <w:jc w:val="left"/>
            </w:pPr>
            <w:r>
              <w:rPr>
                <w:rFonts w:ascii="Arial" w:hAnsi="Arial"/>
                <w:b w:val="false"/>
                <w:i w:val="false"/>
                <w:color w:val="333333"/>
                <w:sz w:val="18"/>
              </w:rPr>
              <w:t>Entendant confirmer la solidarité qui lie l'Europe et les pays d'outre-mer, et désirant assurer le développement de leur prospérité, conformément aux principes de la charte des Nations unies,</w:t>
            </w:r>
          </w:p>
          <w:p>
            <w:pPr>
              <w:spacing w:before="0" w:after="0"/>
              <w:ind w:left="45"/>
              <w:jc w:val="left"/>
            </w:pPr>
            <w:r>
              <w:rPr>
                <w:rFonts w:ascii="Arial" w:hAnsi="Arial"/>
                <w:b w:val="false"/>
                <w:i w:val="false"/>
                <w:color w:val="333333"/>
                <w:sz w:val="18"/>
              </w:rPr>
              <w:t>Résolus à affermir, par la constitution de cet ensemble de ressources, les sauvegardes de la paix et de la liberté, et appelant les autres peuples de l'Europe qui partagent leur idéal à s'associer à leur effort,</w:t>
            </w:r>
          </w:p>
          <w:p>
            <w:pPr>
              <w:spacing w:before="0" w:after="0"/>
              <w:ind w:left="45"/>
              <w:jc w:val="left"/>
            </w:pPr>
            <w:r>
              <w:rPr>
                <w:rFonts w:ascii="Arial" w:hAnsi="Arial"/>
                <w:b w:val="false"/>
                <w:i w:val="false"/>
                <w:color w:val="333333"/>
                <w:sz w:val="18"/>
              </w:rPr>
              <w:t>Déterminés à promouvoir le développement du niveau de connaissance le plus élevé possible pour leurs peuples par un large accès à l'éducation et par la mise à jour permanente des connaissances,</w:t>
            </w:r>
          </w:p>
          <w:p>
            <w:pPr>
              <w:spacing w:before="0" w:after="0"/>
              <w:ind w:left="45"/>
              <w:jc w:val="left"/>
            </w:pPr>
            <w:r>
              <w:rPr>
                <w:rFonts w:ascii="Arial" w:hAnsi="Arial"/>
                <w:b w:val="false"/>
                <w:i w:val="false"/>
                <w:color w:val="333333"/>
                <w:sz w:val="18"/>
              </w:rPr>
              <w:t>Ont désigné à cet effet comme plénipotentiaires:</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25/03/57 EG-Verdrag geconsol. versie na Verdrag van Lissabon</w:t>
            </w:r>
            <w:r>
              <w:br/>
            </w:r>
            <w:r>
              <w:rPr>
                <w:rFonts w:ascii="Arial" w:hAnsi="Arial"/>
                <w:b/>
                <w:i w:val="false"/>
                <w:color w:val="333333"/>
              </w:rPr>
              <w:t xml:space="preserve">Verdrag van 25 maart 1957 betreffende de werking van de Europese Unie </w:t>
            </w:r>
          </w:p>
          <w:p>
            <w:pPr>
              <w:spacing w:before="0" w:after="0"/>
              <w:ind w:left="45"/>
              <w:jc w:val="left"/>
            </w:pPr>
            <w:r>
              <w:rPr>
                <w:rFonts w:ascii="Arial" w:hAnsi="Arial"/>
                <w:b w:val="false"/>
                <w:i w:val="false"/>
                <w:color w:val="333333"/>
                <w:sz w:val="18"/>
              </w:rPr>
              <w:t>Vastberaden, de grondslagen te leggen voor een steeds hechter verbond tussen de Europese volkeren,</w:t>
            </w:r>
          </w:p>
          <w:p>
            <w:pPr>
              <w:spacing w:before="0" w:after="0"/>
              <w:ind w:left="45"/>
              <w:jc w:val="left"/>
            </w:pPr>
            <w:r>
              <w:rPr>
                <w:rFonts w:ascii="Arial" w:hAnsi="Arial"/>
                <w:b w:val="false"/>
                <w:i w:val="false"/>
                <w:color w:val="333333"/>
                <w:sz w:val="18"/>
              </w:rPr>
              <w:t>Besloten hebbende, door gemeenschappelijk optreden de economische en sociale vooruitgang van hun Staten te verzekeren en daartoe de barrières die Europa verdelen te verwijderen,</w:t>
            </w:r>
          </w:p>
          <w:p>
            <w:pPr>
              <w:spacing w:before="0" w:after="0"/>
              <w:ind w:left="45"/>
              <w:jc w:val="left"/>
            </w:pPr>
            <w:r>
              <w:rPr>
                <w:rFonts w:ascii="Arial" w:hAnsi="Arial"/>
                <w:b w:val="false"/>
                <w:i w:val="false"/>
                <w:color w:val="333333"/>
                <w:sz w:val="18"/>
              </w:rPr>
              <w:t>Vaststellende als wezenlijk doel van hun streven, een voortdurende verbetering van de omstandigheden waaronder hun volkeren leven en werken, te verzekeren,</w:t>
            </w:r>
          </w:p>
          <w:p>
            <w:pPr>
              <w:spacing w:before="0" w:after="0"/>
              <w:ind w:left="45"/>
              <w:jc w:val="left"/>
            </w:pPr>
            <w:r>
              <w:rPr>
                <w:rFonts w:ascii="Arial" w:hAnsi="Arial"/>
                <w:b w:val="false"/>
                <w:i w:val="false"/>
                <w:color w:val="333333"/>
                <w:sz w:val="18"/>
              </w:rPr>
              <w:t>Erkennende, dat de verwijdering van de bestaande hinderpalen eensgezind optreden vereist teneinde de gestadige expansie, het evenwicht in het handelsverkeer en de eerlijkheid in de mededinging te waarborgen,</w:t>
            </w:r>
          </w:p>
          <w:p>
            <w:pPr>
              <w:spacing w:before="0" w:after="0"/>
              <w:ind w:left="45"/>
              <w:jc w:val="left"/>
            </w:pPr>
            <w:r>
              <w:rPr>
                <w:rFonts w:ascii="Arial" w:hAnsi="Arial"/>
                <w:b w:val="false"/>
                <w:i w:val="false"/>
                <w:color w:val="333333"/>
                <w:sz w:val="18"/>
              </w:rPr>
              <w:t>Verlangende, de eenheid hunner volkshuishoudingen te versterken en de harmonische ontwikkeling daarvan te bevorderen door het verschil in niveau tussen de onderscheidene gebieden en de achterstand van de minder begunstigde gebieden te verminderen,</w:t>
            </w:r>
          </w:p>
          <w:p>
            <w:pPr>
              <w:spacing w:before="0" w:after="0"/>
              <w:ind w:left="45"/>
              <w:jc w:val="left"/>
            </w:pPr>
            <w:r>
              <w:rPr>
                <w:rFonts w:ascii="Arial" w:hAnsi="Arial"/>
                <w:b w:val="false"/>
                <w:i w:val="false"/>
                <w:color w:val="333333"/>
                <w:sz w:val="18"/>
              </w:rPr>
              <w:t>Geleid door de wens, door middel van een gemeenschappelijke handelspolitiek bij te dragen tot de geleidelijke opheffing der beperkingen in het internationale handelsverkeer,</w:t>
            </w:r>
          </w:p>
          <w:p>
            <w:pPr>
              <w:spacing w:before="0" w:after="0"/>
              <w:ind w:left="45"/>
              <w:jc w:val="left"/>
            </w:pPr>
            <w:r>
              <w:rPr>
                <w:rFonts w:ascii="Arial" w:hAnsi="Arial"/>
                <w:b w:val="false"/>
                <w:i w:val="false"/>
                <w:color w:val="333333"/>
                <w:sz w:val="18"/>
              </w:rPr>
              <w:t>Wensende, de verbondenheid van Europa met de landen overzee te bevestigen en verlangende, de ontwikkeling van hun welvaart te verzekeren, overeenkomstig de beginselen van het Handvest der Verenigde Naties,</w:t>
            </w:r>
          </w:p>
          <w:p>
            <w:pPr>
              <w:spacing w:before="0" w:after="0"/>
              <w:ind w:left="45"/>
              <w:jc w:val="left"/>
            </w:pPr>
            <w:r>
              <w:rPr>
                <w:rFonts w:ascii="Arial" w:hAnsi="Arial"/>
                <w:b w:val="false"/>
                <w:i w:val="false"/>
                <w:color w:val="333333"/>
                <w:sz w:val="18"/>
              </w:rPr>
              <w:t>Vastbesloten, door deze bundeling van krachten de waarborgen voor vrede en vrijheid te versterken, en de overige Europese volkeren die hun idealen delen, oproepende zich bij hun streven aan te sluiten,</w:t>
            </w:r>
          </w:p>
          <w:p>
            <w:pPr>
              <w:spacing w:before="0" w:after="0"/>
              <w:ind w:left="45"/>
              <w:jc w:val="left"/>
            </w:pPr>
            <w:r>
              <w:rPr>
                <w:rFonts w:ascii="Arial" w:hAnsi="Arial"/>
                <w:b w:val="false"/>
                <w:i w:val="false"/>
                <w:color w:val="333333"/>
                <w:sz w:val="18"/>
              </w:rPr>
              <w:t>Vastbesloten, het hoogstmogelijke kennisniveau voor zijn volkeren na te streven door middel van ruime toegang tot onderwijs en door middel van de voortdurende vernieuwing daarvan,</w:t>
            </w:r>
          </w:p>
          <w:p>
            <w:pPr>
              <w:spacing w:before="0" w:after="0"/>
              <w:ind w:left="45"/>
              <w:jc w:val="left"/>
            </w:pPr>
            <w:r>
              <w:rPr>
                <w:rFonts w:ascii="Arial" w:hAnsi="Arial"/>
                <w:b w:val="false"/>
                <w:i w:val="false"/>
                <w:color w:val="333333"/>
                <w:sz w:val="18"/>
              </w:rPr>
              <w:t>Hebben te dien einde als hun gevolmachtigden aangewezen:</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Partie 7 Dispositions générales et finales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Deel 7 Algemene en slotbepalingen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335 </w:t>
            </w:r>
          </w:p>
          <w:p>
            <w:pPr>
              <w:spacing w:before="60" w:after="60"/>
              <w:ind w:left="45"/>
              <w:jc w:val="left"/>
            </w:pPr>
            <w:r>
              <w:rPr>
                <w:rFonts w:ascii="Arial" w:hAnsi="Arial"/>
                <w:b w:val="false"/>
                <w:i w:val="false"/>
                <w:color w:val="333333"/>
                <w:sz w:val="18"/>
              </w:rPr>
              <w:t>Dans chacun des États membres, l'Union possède la capacité juridique la plus large reconnue aux personnes morales par les législations nationales; elle peut notamment acquérir ou aliéner des biens immobiliers et mobiliers et ester en justice. À cet effet, elle est représentée par la Commission. Toutefois, l'Union est représentée par chacune des institutions, au titre de leur autonomie administrative, pour les questions liées à leur fonctionnement respectif.</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335 </w:t>
            </w:r>
          </w:p>
          <w:p>
            <w:pPr>
              <w:spacing w:before="60" w:after="60"/>
              <w:ind w:left="45"/>
              <w:jc w:val="left"/>
            </w:pPr>
            <w:r>
              <w:rPr>
                <w:rFonts w:ascii="Arial" w:hAnsi="Arial"/>
                <w:b w:val="false"/>
                <w:i w:val="false"/>
                <w:color w:val="333333"/>
                <w:sz w:val="18"/>
              </w:rPr>
              <w:t>In elk der lidstaten heeft de Unie de ruimste handelingsbevoegdheid welke door de nationale wetgevingen aan rechtspersonen wordt toegekend; zij kan met name roerende en onroerende goederen verkrijgen of vervreemden en in rechte optreden. Te dien einde wordt zij door de Commissie vertegenwoordigd. De Unie wordt evenwel door elk van de instellingen vertegenwoordigd, uit hoofde van hun administratieve autonomie, voor de aangelegenheden die verband houden met hun respectieve werking.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336 </w:t>
            </w:r>
          </w:p>
          <w:p>
            <w:pPr>
              <w:spacing w:before="60" w:after="60"/>
              <w:ind w:left="45"/>
              <w:jc w:val="left"/>
            </w:pPr>
            <w:r>
              <w:rPr>
                <w:rFonts w:ascii="Arial" w:hAnsi="Arial"/>
                <w:b w:val="false"/>
                <w:i w:val="false"/>
                <w:color w:val="333333"/>
                <w:sz w:val="18"/>
              </w:rPr>
              <w:t>Le Parlement européen et le Conseil, statuant par voie de règlements conformément à la procédure législative ordinaire, arrêtent, après consultation des autres institutions intéressées, le statut des fonctionnaires de l'Union européenne et le régime applicable aux autres agents de l'Union.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336 </w:t>
            </w:r>
          </w:p>
          <w:p>
            <w:pPr>
              <w:spacing w:before="60" w:after="60"/>
              <w:ind w:left="45"/>
              <w:jc w:val="left"/>
            </w:pPr>
            <w:r>
              <w:rPr>
                <w:rFonts w:ascii="Arial" w:hAnsi="Arial"/>
                <w:b w:val="false"/>
                <w:i w:val="false"/>
                <w:color w:val="333333"/>
                <w:sz w:val="18"/>
              </w:rPr>
              <w:t>Het Europees Parlement en de Raad stellen, volgens de gewone wetgevingsprocedure en na raadpleging van de andere betrokken instellingen, bij verordeningen het statuut vast van de ambtenaren van de Europese Unie, alsmede de regeling welke van toepassing is op de andere personeelsleden van de Unie.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337 </w:t>
            </w:r>
          </w:p>
          <w:p>
            <w:pPr>
              <w:spacing w:before="60" w:after="60"/>
              <w:ind w:left="45"/>
              <w:jc w:val="left"/>
            </w:pPr>
            <w:r>
              <w:rPr>
                <w:rFonts w:ascii="Arial" w:hAnsi="Arial"/>
                <w:b w:val="false"/>
                <w:i w:val="false"/>
                <w:color w:val="333333"/>
                <w:sz w:val="18"/>
              </w:rPr>
              <w:t>Pour l'accomplissement des tâches qui lui sont confiées, la Commission peut recueillir toutes informations et procéder à toutes vérifications nécessaires, dans les limites et conditions fixées par le Conseil, statuant à la majorité simple, en conformité avec les dispositions des traités.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337 </w:t>
            </w:r>
          </w:p>
          <w:p>
            <w:pPr>
              <w:spacing w:before="60" w:after="60"/>
              <w:ind w:left="45"/>
              <w:jc w:val="left"/>
            </w:pPr>
            <w:r>
              <w:rPr>
                <w:rFonts w:ascii="Arial" w:hAnsi="Arial"/>
                <w:b w:val="false"/>
                <w:i w:val="false"/>
                <w:color w:val="333333"/>
                <w:sz w:val="18"/>
              </w:rPr>
              <w:t>Voor de vervulling van de haar opgedragen taken kan de Commissie, binnen de grenzen en onder de voorwaarden door de Raad met gewone meerderheid overeenkomstig de bepalingen van de Verdragen vastgesteld, alle gegevens verzamelen en alle noodzakelijke verificaties verrichten.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338 </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Sans préjudice de l'article 5 du protocole sur les statuts du Système européen de banques centrales et de la Banque centrale européenne, le Parlement européen et le Conseil, statuant conformément à la procédure législative ordinaire, arrêtent des mesures en vue de l'établissement de statistiques, lorsque cela est nécessaire à l'accomplissement des activités de l'Union.</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L'établissement des statistiques se fait dans le respect de l'impartialité, de la fiabilité, de l'objectivité, de l'indépendance scientifique, de l'efficacité au regard du coût et de la confidentialité des informations statistiques; il ne doit pas entraîner de charges excessives pour les opérateurs économiques.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338 </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Onverminderd artikel 5 van het Protocol betreffende de statuten van het Europees Stelsel van centrale banken en van de Europese Centrale Bank nemen het Europees Parlement en de Raad volgens de gewone wetgevingsprocedure maatregelen aan voor de opstelling van statistieken wanneer zulks voor de vervulling van de taken van de Unie nodig is.</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productie van statistieken van de Unie geschiedt op basis van onpartijdigheid, betrouwbaarheid, objectiviteit, wetenschappelijke onafhankelijkheid, kosteneffectiviteit en statistische geheimhouding; het mag geen buitensporige lasten voor de economische actoren met zich mee brengen.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339 </w:t>
            </w:r>
          </w:p>
          <w:p>
            <w:pPr>
              <w:spacing w:before="60" w:after="60"/>
              <w:ind w:left="45"/>
              <w:jc w:val="left"/>
            </w:pPr>
            <w:r>
              <w:rPr>
                <w:rFonts w:ascii="Arial" w:hAnsi="Arial"/>
                <w:b w:val="false"/>
                <w:i w:val="false"/>
                <w:color w:val="333333"/>
                <w:sz w:val="18"/>
              </w:rPr>
              <w:t>Les membres des institutions de l'Union, les membres des comités ainsi que les fonctionnaires et agents de l'Union sont tenus, même après la cessation de leurs fonctions, de ne pas divulguer les informations qui, par leur nature, sont couvertes par le secret professionnel, et notamment les renseignements relatifs aux entreprises et concernant leurs relations commerciales ou les éléments de leur prix de revient.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339 </w:t>
            </w:r>
          </w:p>
          <w:p>
            <w:pPr>
              <w:spacing w:before="60" w:after="60"/>
              <w:ind w:left="45"/>
              <w:jc w:val="left"/>
            </w:pPr>
            <w:r>
              <w:rPr>
                <w:rFonts w:ascii="Arial" w:hAnsi="Arial"/>
                <w:b w:val="false"/>
                <w:i w:val="false"/>
                <w:color w:val="333333"/>
                <w:sz w:val="18"/>
              </w:rPr>
              <w:t>De leden van de instellingen van de Unie, de leden van de comités, alsmede de ambtenaren en personeelsleden van de Unie zijn gehouden, zelfs na afloop van hun functie, de inlichtingen die naar hun aard vallen onder de geheimhoudingsplicht en met name de inlichtingen betreffende de ondernemingen en hun handelsbetrekkingen of de bestanddelen van hun kostprijzen, niet openbaar te maken.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340 </w:t>
            </w:r>
          </w:p>
          <w:p>
            <w:pPr>
              <w:spacing w:before="60" w:after="60"/>
              <w:ind w:left="45"/>
              <w:jc w:val="left"/>
            </w:pPr>
            <w:r>
              <w:rPr>
                <w:rFonts w:ascii="Arial" w:hAnsi="Arial"/>
                <w:b w:val="false"/>
                <w:i w:val="false"/>
                <w:color w:val="333333"/>
                <w:sz w:val="18"/>
              </w:rPr>
              <w:t>La responsabilité contractuelle de l'Union est régie par la loi applicable au contrat en cause.</w:t>
            </w:r>
          </w:p>
          <w:p>
            <w:pPr>
              <w:spacing w:before="60" w:after="60"/>
              <w:ind w:left="45"/>
              <w:jc w:val="left"/>
            </w:pPr>
            <w:r>
              <w:rPr>
                <w:rFonts w:ascii="Arial" w:hAnsi="Arial"/>
                <w:b w:val="false"/>
                <w:i w:val="false"/>
                <w:color w:val="333333"/>
                <w:sz w:val="18"/>
              </w:rPr>
              <w:t>En matière de responsabilité non contractuelle, l'Union doit réparer, conformément aux principes généraux communs aux droits des États membres, les dommages causés par ses institutions ou par ses agents dans l'exercice de leurs fonctions.</w:t>
            </w:r>
          </w:p>
          <w:p>
            <w:pPr>
              <w:spacing w:before="60" w:after="60"/>
              <w:ind w:left="45"/>
              <w:jc w:val="left"/>
            </w:pPr>
            <w:r>
              <w:rPr>
                <w:rFonts w:ascii="Arial" w:hAnsi="Arial"/>
                <w:b w:val="false"/>
                <w:i w:val="false"/>
                <w:color w:val="333333"/>
                <w:sz w:val="18"/>
              </w:rPr>
              <w:t>Par dérogation au deuxième alinéa, la Banque centrale européenne doit réparer, conformément aux principes généraux communs aux droits des États membres, les dommages causés par elle-même ou par ses agents dans l'exercice de leurs fonctions.</w:t>
            </w:r>
          </w:p>
          <w:p>
            <w:pPr>
              <w:spacing w:before="60" w:after="60"/>
              <w:ind w:left="45"/>
              <w:jc w:val="left"/>
            </w:pPr>
            <w:r>
              <w:rPr>
                <w:rFonts w:ascii="Arial" w:hAnsi="Arial"/>
                <w:b w:val="false"/>
                <w:i w:val="false"/>
                <w:color w:val="333333"/>
                <w:sz w:val="18"/>
              </w:rPr>
              <w:t>La responsabilité personnelle des agents envers l'Union est réglée dans les dispositions fixant leur statut ou le régime qui leur est applicable.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340 </w:t>
            </w:r>
          </w:p>
          <w:p>
            <w:pPr>
              <w:spacing w:before="60" w:after="60"/>
              <w:ind w:left="45"/>
              <w:jc w:val="left"/>
            </w:pPr>
            <w:r>
              <w:rPr>
                <w:rFonts w:ascii="Arial" w:hAnsi="Arial"/>
                <w:b w:val="false"/>
                <w:i w:val="false"/>
                <w:color w:val="333333"/>
                <w:sz w:val="18"/>
              </w:rPr>
              <w:t>De contractuele aansprakelijkheid van de Unie wordt beheerst door de wet welke op het betrokken contract van toepassing is.</w:t>
            </w:r>
          </w:p>
          <w:p>
            <w:pPr>
              <w:spacing w:before="60" w:after="60"/>
              <w:ind w:left="45"/>
              <w:jc w:val="left"/>
            </w:pPr>
            <w:r>
              <w:rPr>
                <w:rFonts w:ascii="Arial" w:hAnsi="Arial"/>
                <w:b w:val="false"/>
                <w:i w:val="false"/>
                <w:color w:val="333333"/>
                <w:sz w:val="18"/>
              </w:rPr>
              <w:t>Inzake de niet-contractuele aansprakelijkheid moet de Unie overeenkomstig de algemene beginselen welke de rechtsstelsels der lidstaten gemeen hebben, de schade vergoeden die door haar instellingen of door haar personeelsleden in de uitoefening van hun functies is veroorzaakt.</w:t>
            </w:r>
          </w:p>
          <w:p>
            <w:pPr>
              <w:spacing w:before="60" w:after="60"/>
              <w:ind w:left="45"/>
              <w:jc w:val="left"/>
            </w:pPr>
            <w:r>
              <w:rPr>
                <w:rFonts w:ascii="Arial" w:hAnsi="Arial"/>
                <w:b w:val="false"/>
                <w:i w:val="false"/>
                <w:color w:val="333333"/>
                <w:sz w:val="18"/>
              </w:rPr>
              <w:t>In afwijking van de tweede alinea moet de Europese Centrale Bank overeenkomstig de algemene beginselen die de rechtsstelsels van de lidstaten gemeen hebben, de schade vergoeden die door haar zelf of door haar personeelsleden in de uitoefening van hun functies is veroorzaakt.</w:t>
            </w:r>
          </w:p>
          <w:p>
            <w:pPr>
              <w:spacing w:before="60" w:after="60"/>
              <w:ind w:left="45"/>
              <w:jc w:val="left"/>
            </w:pPr>
            <w:r>
              <w:rPr>
                <w:rFonts w:ascii="Arial" w:hAnsi="Arial"/>
                <w:b w:val="false"/>
                <w:i w:val="false"/>
                <w:color w:val="333333"/>
                <w:sz w:val="18"/>
              </w:rPr>
              <w:t>De persoonlijke aansprakelijkheid der personeelsleden jegens de Unie wordt geregeld bij de bepalingen welke hun statuut of de op hen toepasselijke regeling vaststellen.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341 </w:t>
            </w:r>
          </w:p>
          <w:p>
            <w:pPr>
              <w:spacing w:before="60" w:after="60"/>
              <w:ind w:left="45"/>
              <w:jc w:val="left"/>
            </w:pPr>
            <w:r>
              <w:rPr>
                <w:rFonts w:ascii="Arial" w:hAnsi="Arial"/>
                <w:b w:val="false"/>
                <w:i w:val="false"/>
                <w:color w:val="333333"/>
                <w:sz w:val="18"/>
              </w:rPr>
              <w:t>Le siège des institutions de l'Union est fixé du commun accord des gouvernements des États membres.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341 </w:t>
            </w:r>
          </w:p>
          <w:p>
            <w:pPr>
              <w:spacing w:before="60" w:after="60"/>
              <w:ind w:left="45"/>
              <w:jc w:val="left"/>
            </w:pPr>
            <w:r>
              <w:rPr>
                <w:rFonts w:ascii="Arial" w:hAnsi="Arial"/>
                <w:b w:val="false"/>
                <w:i w:val="false"/>
                <w:color w:val="333333"/>
                <w:sz w:val="18"/>
              </w:rPr>
              <w:t>De zetel van de instellingen van de Unie wordt in onderlinge overeenstemming door de regeringen der lidstaten vastgesteld.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342 </w:t>
            </w:r>
          </w:p>
          <w:p>
            <w:pPr>
              <w:spacing w:before="60" w:after="60"/>
              <w:ind w:left="45"/>
              <w:jc w:val="left"/>
            </w:pPr>
            <w:r>
              <w:rPr>
                <w:rFonts w:ascii="Arial" w:hAnsi="Arial"/>
                <w:b w:val="false"/>
                <w:i w:val="false"/>
                <w:color w:val="333333"/>
                <w:sz w:val="18"/>
              </w:rPr>
              <w:t>Le régime linguistique des institutions de l'Union est fixé, sans préjudice des dispositions prévues par le statut de la Cour de justice, par le Conseil, statuant à l'unanimité par voie de règlements.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342 </w:t>
            </w:r>
          </w:p>
          <w:p>
            <w:pPr>
              <w:spacing w:before="60" w:after="60"/>
              <w:ind w:left="45"/>
              <w:jc w:val="left"/>
            </w:pPr>
            <w:r>
              <w:rPr>
                <w:rFonts w:ascii="Arial" w:hAnsi="Arial"/>
                <w:b w:val="false"/>
                <w:i w:val="false"/>
                <w:color w:val="333333"/>
                <w:sz w:val="18"/>
              </w:rPr>
              <w:t>De regeling van het taalgebruik door de instellingen van de Unie wordt, onverminderd de bepalingen van het statuut van het Hof van Justitie van de Europese Unie, door de Raad met eenparigheid van stemmen bij verordeningen vastgesteld.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343 </w:t>
            </w:r>
          </w:p>
          <w:p>
            <w:pPr>
              <w:spacing w:before="60" w:after="60"/>
              <w:ind w:left="45"/>
              <w:jc w:val="left"/>
            </w:pPr>
            <w:r>
              <w:rPr>
                <w:rFonts w:ascii="Arial" w:hAnsi="Arial"/>
                <w:b w:val="false"/>
                <w:i w:val="false"/>
                <w:color w:val="333333"/>
                <w:sz w:val="18"/>
              </w:rPr>
              <w:t>L'Union jouit sur le territoire des États membres des privilèges et immunités nécessaires à l'accomplissement de sa mission dans les conditions définies au protocole du 8 avril 1965 sur les privilèges et immunités de l'Union européenne. Il en est de même de la Banque centrale européenne et de la Banque européenne d'investissement.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343 </w:t>
            </w:r>
          </w:p>
          <w:p>
            <w:pPr>
              <w:spacing w:before="60" w:after="60"/>
              <w:ind w:left="45"/>
              <w:jc w:val="left"/>
            </w:pPr>
            <w:r>
              <w:rPr>
                <w:rFonts w:ascii="Arial" w:hAnsi="Arial"/>
                <w:b w:val="false"/>
                <w:i w:val="false"/>
                <w:color w:val="333333"/>
                <w:sz w:val="18"/>
              </w:rPr>
              <w:t>De Unie geniet, overeenkomstig de bepalingen van het aan de Verdragen gehechte Protocol van 8 april 1965 betreffende de voorrechten en immuniteiten van de Europese Unie, op het grondgebied van de lidstaten de voorrechten en immuniteiten welke nodig zijn ter vervulling van haar taak. Dit zelfde geldt voor de Europese Centrale Bank en de Europese Investeringsbank.</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344 </w:t>
            </w:r>
          </w:p>
          <w:p>
            <w:pPr>
              <w:spacing w:before="60" w:after="60"/>
              <w:ind w:left="45"/>
              <w:jc w:val="left"/>
            </w:pPr>
            <w:r>
              <w:rPr>
                <w:rFonts w:ascii="Arial" w:hAnsi="Arial"/>
                <w:b w:val="false"/>
                <w:i w:val="false"/>
                <w:color w:val="333333"/>
                <w:sz w:val="18"/>
              </w:rPr>
              <w:t>Les États membres s'engagent à ne pas soumettre un différend relatif à l'interprétation ou à l'application des traités à un mode de règlement autre que ceux prévus par celui-ci.</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344 </w:t>
            </w:r>
          </w:p>
          <w:p>
            <w:pPr>
              <w:spacing w:before="60" w:after="60"/>
              <w:ind w:left="45"/>
              <w:jc w:val="left"/>
            </w:pPr>
            <w:r>
              <w:rPr>
                <w:rFonts w:ascii="Arial" w:hAnsi="Arial"/>
                <w:b w:val="false"/>
                <w:i w:val="false"/>
                <w:color w:val="333333"/>
                <w:sz w:val="18"/>
              </w:rPr>
              <w:t>De lidstaten verbinden zich, een geschil betreffende de uitlegging of de toepassing van de Verdragen niet op andere wijze te doen beslechten dan in de Verdragen is voorgeschreven.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345 </w:t>
            </w:r>
          </w:p>
          <w:p>
            <w:pPr>
              <w:spacing w:before="60" w:after="60"/>
              <w:ind w:left="45"/>
              <w:jc w:val="left"/>
            </w:pPr>
            <w:r>
              <w:rPr>
                <w:rFonts w:ascii="Arial" w:hAnsi="Arial"/>
                <w:b w:val="false"/>
                <w:i w:val="false"/>
                <w:color w:val="333333"/>
                <w:sz w:val="18"/>
              </w:rPr>
              <w:t>Les traités ne préjugent en rien le régime de la propriété dans les États membres.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345 </w:t>
            </w:r>
          </w:p>
          <w:p>
            <w:pPr>
              <w:spacing w:before="60" w:after="60"/>
              <w:ind w:left="45"/>
              <w:jc w:val="left"/>
            </w:pPr>
            <w:r>
              <w:rPr>
                <w:rFonts w:ascii="Arial" w:hAnsi="Arial"/>
                <w:b w:val="false"/>
                <w:i w:val="false"/>
                <w:color w:val="333333"/>
                <w:sz w:val="18"/>
              </w:rPr>
              <w:t>De Verdragen laten de regeling van het eigendomsrecht in de lidstaten onverlet.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346 </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0" w:after="0"/>
              <w:ind w:left="45"/>
              <w:jc w:val="left"/>
            </w:pPr>
            <w:r>
              <w:rPr>
                <w:rFonts w:ascii="Arial" w:hAnsi="Arial"/>
                <w:b w:val="false"/>
                <w:i w:val="false"/>
                <w:color w:val="333333"/>
                <w:sz w:val="18"/>
              </w:rPr>
              <w:t>Les dispositions des traités ne font pas obstacle aux règles ci-après: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aucun État membre n'est tenu de fournir des renseignements dont il estimerait la divulgation contraire aux intérêts essentiels de sa sécurité,</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tout État membre peut prendre les mesures qu'il estime nécessaires à la protection des intérêts essentiels de sa sécurité et qui se rapportent à la production ou au commerce d'armes, de munitions et de matériel de guerre; ces mesures ne doivent pas altérer les conditions de la concurrence dans le marché intérieur en ce qui concerne les produits non destinés à des fins spécifiquement militaires.</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Le Conseil, statuant à l'unanimité sur proposition de la Commission, peut apporter des modifications à la liste, qu'il a fixée le 15 avril 1958, des produits auxquels les dispositions du paragraphe 1, point b), s'appliqent.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346 </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0" w:after="0"/>
              <w:ind w:left="45"/>
              <w:jc w:val="left"/>
            </w:pPr>
            <w:r>
              <w:rPr>
                <w:rFonts w:ascii="Arial" w:hAnsi="Arial"/>
                <w:b w:val="false"/>
                <w:i w:val="false"/>
                <w:color w:val="333333"/>
                <w:sz w:val="18"/>
              </w:rPr>
              <w:t>De bepalingen van de Verdragen vormen geen beletsel voor de volgende regels: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geen enkele lidstaat is gehouden inlichtingen te verstrekken waarvan de verbreiding naar zijn mening strijdig zou zijn met de wezenlijke belangen van zijn veiligheid;</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elke lidstaat kan de maatregelen nemen die hij noodzakelijk acht voor de bescherming van de wezenlijke belangen van zijn veiligheid en die betrekking hebben op de productie van of de handel in wapens, munitie en oorlogsmateriaal; die maatregelen mogen de mededingingsverhoudingen op de interne markt niet wijzigen voor producten die niet bestemd zijn voor specifiek militaire doeleinden.</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Raad kan met eenparigheid van stemmen op voorstel van de Commissie wijzigingen aanbrengen in de lijst van de producten waarop de bepalingen van lid 1, punt b), van toepassing zijn, die hij op 15 april 1958 heeft vastgesteld.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347 </w:t>
            </w:r>
          </w:p>
          <w:p>
            <w:pPr>
              <w:spacing w:before="60" w:after="60"/>
              <w:ind w:left="45"/>
              <w:jc w:val="left"/>
            </w:pPr>
            <w:r>
              <w:rPr>
                <w:rFonts w:ascii="Arial" w:hAnsi="Arial"/>
                <w:b w:val="false"/>
                <w:i w:val="false"/>
                <w:color w:val="333333"/>
                <w:sz w:val="18"/>
              </w:rPr>
              <w:t>Les États membres se consultent en vue de prendre en commun les dispositions nécessaires pour éviter que le fonctionnement du marché intérieur ne soit affecté par les mesures qu'un État membre peut être appelé à prendre en cas de troubles intérieurs graves affectant l'ordre public, en cas de guerre ou de tension internationale grave constituant une menace de guerre, ou pour faire face aux engagements contractés par lui en vue du maintien de la paix et de la sécurité internationale.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347 </w:t>
            </w:r>
          </w:p>
          <w:p>
            <w:pPr>
              <w:spacing w:before="60" w:after="60"/>
              <w:ind w:left="45"/>
              <w:jc w:val="left"/>
            </w:pPr>
            <w:r>
              <w:rPr>
                <w:rFonts w:ascii="Arial" w:hAnsi="Arial"/>
                <w:b w:val="false"/>
                <w:i w:val="false"/>
                <w:color w:val="333333"/>
                <w:sz w:val="18"/>
              </w:rPr>
              <w:t>De lidstaten plegen onderling overleg teneinde gezamenlijk de regelingen te treffen noodzakelijk om te voorkomen dat de werking van de interne markt ongunstig wordt beïnvloed door de maatregelen waartoe een lidstaat zich genoopt kan voelen, in geval van ernstige binnenlandse onlusten waardoor de openbare orde wordt verstoord, in geval van oorlog of van een ernstige internationale spanning welke oorlogsgevaar inhoudt, of om te voldoen aan de verplichtingen die hij met het oog op het behoud van de vrede en van de internationale veiligheid heeft aangegaan.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348 </w:t>
            </w:r>
          </w:p>
          <w:p>
            <w:pPr>
              <w:spacing w:before="60" w:after="60"/>
              <w:ind w:left="45"/>
              <w:jc w:val="left"/>
            </w:pPr>
            <w:r>
              <w:rPr>
                <w:rFonts w:ascii="Arial" w:hAnsi="Arial"/>
                <w:b w:val="false"/>
                <w:i w:val="false"/>
                <w:color w:val="333333"/>
                <w:sz w:val="18"/>
              </w:rPr>
              <w:t>Si des mesures prises dans les cas prévus aux articles 346 et 347 ont pour effet de fausser les conditions de la concurrence dans le marché intérieur, la Commission examine avec l'État intéressé les conditions dans lesquelles ces mesures peuvent être adaptées aux règles établies par les traités.</w:t>
            </w:r>
          </w:p>
          <w:p>
            <w:pPr>
              <w:spacing w:before="60" w:after="60"/>
              <w:ind w:left="45"/>
              <w:jc w:val="left"/>
            </w:pPr>
            <w:r>
              <w:rPr>
                <w:rFonts w:ascii="Arial" w:hAnsi="Arial"/>
                <w:b w:val="false"/>
                <w:i w:val="false"/>
                <w:color w:val="333333"/>
                <w:sz w:val="18"/>
              </w:rPr>
              <w:t>Par dérogation à la procédure prévue aux articles 258 et 259, la Commission ou tout État membre peut saisir directement la Cour de justice, s'il estime qu'un autre État membre fait un usage abusif des pouvoirs prévus aux articles 346 et 347. La Cour de justice statue à huis clos.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348 </w:t>
            </w:r>
          </w:p>
          <w:p>
            <w:pPr>
              <w:spacing w:before="60" w:after="60"/>
              <w:ind w:left="45"/>
              <w:jc w:val="left"/>
            </w:pPr>
            <w:r>
              <w:rPr>
                <w:rFonts w:ascii="Arial" w:hAnsi="Arial"/>
                <w:b w:val="false"/>
                <w:i w:val="false"/>
                <w:color w:val="333333"/>
                <w:sz w:val="18"/>
              </w:rPr>
              <w:t>Indien maatregelen, genomen in de gevallen bedoeld in de artikelen 346 en 347, tot gevolg hebben dat de mededingingsverhoudingen op de interne markt worden vervalst, onderzoekt de Commissie te zamen met de betrokken staat onder welke voorwaarden die maatregelen kunnen worden aangepast aan de in de Verdragen vastgestelde regels.</w:t>
            </w:r>
          </w:p>
          <w:p>
            <w:pPr>
              <w:spacing w:before="60" w:after="60"/>
              <w:ind w:left="45"/>
              <w:jc w:val="left"/>
            </w:pPr>
            <w:r>
              <w:rPr>
                <w:rFonts w:ascii="Arial" w:hAnsi="Arial"/>
                <w:b w:val="false"/>
                <w:i w:val="false"/>
                <w:color w:val="333333"/>
                <w:sz w:val="18"/>
              </w:rPr>
              <w:t>In afwijking van de procedure bepaald in de artikelen 258 en 259, kan de Commissie of iedere lidstaat zich rechtstreeks wenden tot het Hof van Justitie, indien zij menen dat een andere lidstaat misbruik maakt van de bevoegdheden bedoeld in de artikelen 346 en 347. Het Hof van Justitie beslist met gesloten deuren.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349 </w:t>
            </w:r>
          </w:p>
          <w:p>
            <w:pPr>
              <w:spacing w:before="60" w:after="60"/>
              <w:ind w:left="45"/>
              <w:jc w:val="left"/>
            </w:pPr>
            <w:r>
              <w:rPr>
                <w:rFonts w:ascii="Arial" w:hAnsi="Arial"/>
                <w:b w:val="false"/>
                <w:i w:val="false"/>
                <w:color w:val="333333"/>
                <w:sz w:val="18"/>
              </w:rPr>
              <w:t>Compte tenu de la situation économique et sociale structurelle de la Guadeloupe, de la Guyane française, de la Martinique, [de Mayotte], de la Réunion, [...], de Saint-Martin, des Açores, de Madère et des îles Canaries, qui est aggravée par leur éloignement, l'insularité, leur faible superficie, le relief et le climat difficiles, leur dépendance économique vis-à-vis d'un petit nombre de produits, facteurs dont la permanence et la combinaison nuisent gravement à leur développement, le Conseil, sur proposition de la Commission et après consultation du Parlement européen, arrête des mesures spécifiques visant, en particulier, à fixer les conditions de l'application des traités à ces régions, y compris les politiques communes. Lorsque les mesures spécifiques en question sont adoptées par le Conseil conformément à une procédure législative spéciale, il statue également sur proposition de la Commission et après consultation du Parlement européen.</w:t>
            </w:r>
          </w:p>
          <w:p>
            <w:pPr>
              <w:spacing w:before="60" w:after="60"/>
              <w:ind w:left="45"/>
              <w:jc w:val="left"/>
            </w:pPr>
            <w:r>
              <w:rPr>
                <w:rFonts w:ascii="Arial" w:hAnsi="Arial"/>
                <w:b w:val="false"/>
                <w:i w:val="false"/>
                <w:color w:val="333333"/>
                <w:sz w:val="18"/>
              </w:rPr>
              <w:t>Les mesures visées au premier alinéa portent notamment sur les politiques douanières et commerciales, la politique fiscale, les zones franches, les politiques dans les domaines de l'agriculture et de la pêche, les conditions d'approvisionnement en matières premières et en biens de consommation de première nécessité, les aides d'État, et les conditions d'accès aux fonds structurels et aux programmes horizontaux de l'Union.</w:t>
            </w:r>
          </w:p>
          <w:p>
            <w:pPr>
              <w:spacing w:before="60" w:after="60"/>
              <w:ind w:left="45"/>
              <w:jc w:val="left"/>
            </w:pPr>
            <w:r>
              <w:rPr>
                <w:rFonts w:ascii="Arial" w:hAnsi="Arial"/>
                <w:b w:val="false"/>
                <w:i w:val="false"/>
                <w:color w:val="333333"/>
                <w:sz w:val="18"/>
              </w:rPr>
              <w:t>Le Conseil arrête les mesures visées au premier alinéa en tenant compte des caractéristiques et contraintes particulières des régions ultrapériphériques sans nuire à l'intégrité et à la cohérence de l'ordre juridique de l'Union, y compris le marché intérieur et les politiques communes.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349 </w:t>
            </w:r>
          </w:p>
          <w:p>
            <w:pPr>
              <w:spacing w:before="60" w:after="60"/>
              <w:ind w:left="45"/>
              <w:jc w:val="left"/>
            </w:pPr>
            <w:r>
              <w:rPr>
                <w:rFonts w:ascii="Arial" w:hAnsi="Arial"/>
                <w:b w:val="false"/>
                <w:i w:val="false"/>
                <w:color w:val="333333"/>
                <w:sz w:val="18"/>
              </w:rPr>
              <w:t>Gezien de structurele economische en sociale situatie van Guadeloupe, Frans Guyana, Martinique, [Mayotte], Réunion, [...], Saint Martin, de Azoren, Madeira en de Canarische Eilanden, die wordt bemoeilijkt door de grote afstand, het insulaire karakter, de kleine oppervlakte, een moeilijk reliëf en klimaat en de economische afhankelijkheid van enkele producten, welke factoren door hun blijvende en cumulatieve karakter de ontwikkeling van deze gebieden ernstig schaden, neemt de Raad op voorstel van de Commissie en na raadpleging van het Europees Parlement specifieke maatregelen aan die er met name op gericht zijn de voorwaarden voor de toepassing van de Verdragen, met inbegrip van gemeenschappelijk beleid, op deze gebieden vast te stellen. Wanneer de betrokken specifieke maatregelen volgens een bijzondere wetgevingsprocedure door de Raad worden vastgesteld, besluit hij eveneens op voorstel van de Commissie en na raadpleging van het Europees Parlement.</w:t>
            </w:r>
          </w:p>
          <w:p>
            <w:pPr>
              <w:spacing w:before="60" w:after="60"/>
              <w:ind w:left="45"/>
              <w:jc w:val="left"/>
            </w:pPr>
            <w:r>
              <w:rPr>
                <w:rFonts w:ascii="Arial" w:hAnsi="Arial"/>
                <w:b w:val="false"/>
                <w:i w:val="false"/>
                <w:color w:val="333333"/>
                <w:sz w:val="18"/>
              </w:rPr>
              <w:t>De in de eerste alinea bedoelde maatregelen hebben met name betrekking op het douane- en handelsbeleid, het fiscaal beleid, vrijhandelszones, het landbouw- en visserijbeleid, voorwaarden voor het aanbod van grondstoffen en essentiële consumptiegoederen, staatssteun en de voorwaarden voor toegang tot de structuurfondsen en tot horizontale Gemeenschapsprogramma's.</w:t>
            </w:r>
          </w:p>
          <w:p>
            <w:pPr>
              <w:spacing w:before="60" w:after="60"/>
              <w:ind w:left="45"/>
              <w:jc w:val="left"/>
            </w:pPr>
            <w:r>
              <w:rPr>
                <w:rFonts w:ascii="Arial" w:hAnsi="Arial"/>
                <w:b w:val="false"/>
                <w:i w:val="false"/>
                <w:color w:val="333333"/>
                <w:sz w:val="18"/>
              </w:rPr>
              <w:t>De Raad neemt de in de eerste alinea bedoelde maatregelen aan, rekening houdend met de bijzondere kenmerken en beperkingen van de ultraperifere gebieden en zonder afbreuk te doen aan de integriteit en de samenhang van de rechtsorde van de Unie, met inbegrip van de interne markt en het gemeenschappelijk beleid.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350 </w:t>
            </w:r>
          </w:p>
          <w:p>
            <w:pPr>
              <w:spacing w:before="60" w:after="60"/>
              <w:ind w:left="45"/>
              <w:jc w:val="left"/>
            </w:pPr>
            <w:r>
              <w:rPr>
                <w:rFonts w:ascii="Arial" w:hAnsi="Arial"/>
                <w:b w:val="false"/>
                <w:i w:val="false"/>
                <w:color w:val="333333"/>
                <w:sz w:val="18"/>
              </w:rPr>
              <w:t>Les dispositions des traités ne font pas obstacle à l'existence et à l'accomplissement des unions régionales entre la Belgique et le Luxembourg, ainsi qu'entre la Belgique, le Luxembourg et les Pays-Bas, dans la mesure où les objectifs de ces unions régionales ne sont pas atteints en application des traités.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350 </w:t>
            </w:r>
          </w:p>
          <w:p>
            <w:pPr>
              <w:spacing w:before="60" w:after="60"/>
              <w:ind w:left="45"/>
              <w:jc w:val="left"/>
            </w:pPr>
            <w:r>
              <w:rPr>
                <w:rFonts w:ascii="Arial" w:hAnsi="Arial"/>
                <w:b w:val="false"/>
                <w:i w:val="false"/>
                <w:color w:val="333333"/>
                <w:sz w:val="18"/>
              </w:rPr>
              <w:t>De bepalingen van de Verdragen vormen geen beletsel voor het bestaan en de voltooiing van de regionale unies tussen België en Luxemburg alsmede tussen België, Luxemburg en Nederland, voorzover de doelstellingen van die regionale unies niet bereikt zijn door toepassing van de Verdragen.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351 </w:t>
            </w:r>
          </w:p>
          <w:p>
            <w:pPr>
              <w:spacing w:before="60" w:after="60"/>
              <w:ind w:left="45"/>
              <w:jc w:val="left"/>
            </w:pPr>
            <w:r>
              <w:rPr>
                <w:rFonts w:ascii="Arial" w:hAnsi="Arial"/>
                <w:b w:val="false"/>
                <w:i w:val="false"/>
                <w:color w:val="333333"/>
                <w:sz w:val="18"/>
              </w:rPr>
              <w:t>Les droits et obligations résultant de conventions conclues antérieurement au 1</w:t>
            </w:r>
            <w:r>
              <w:rPr>
                <w:rFonts w:ascii="Arial" w:hAnsi="Arial"/>
                <w:b w:val="false"/>
                <w:i w:val="false"/>
                <w:color w:val="333333"/>
                <w:sz w:val="18"/>
                <w:vertAlign w:val="superscript"/>
              </w:rPr>
              <w:t>er</w:t>
            </w:r>
            <w:r>
              <w:rPr>
                <w:rFonts w:ascii="Arial" w:hAnsi="Arial"/>
                <w:b w:val="false"/>
                <w:i w:val="false"/>
                <w:color w:val="333333"/>
                <w:sz w:val="18"/>
              </w:rPr>
              <w:t> janvier 1958 ou, pour les États adhérents, antérieurement à la date de leur adhésion, entre un ou plusieurs États membres, d'une part, et un ou plusieurs États tiers, d'autre part, ne sont pas affectés par les dispositions des traités.</w:t>
            </w:r>
          </w:p>
          <w:p>
            <w:pPr>
              <w:spacing w:before="60" w:after="60"/>
              <w:ind w:left="45"/>
              <w:jc w:val="left"/>
            </w:pPr>
            <w:r>
              <w:rPr>
                <w:rFonts w:ascii="Arial" w:hAnsi="Arial"/>
                <w:b w:val="false"/>
                <w:i w:val="false"/>
                <w:color w:val="333333"/>
                <w:sz w:val="18"/>
              </w:rPr>
              <w:t>Dans la mesure où ces conventions ne sont pas compatibles avec les traités, le ou les États membres en cause recourent à tous les moyens appropriés pour éliminer les incompatibilités constatées. En cas de besoin, les États membres se prêtent une assistance mutuelle en vue d'arriver à cette fin et adoptent le cas échéant une attitude commune.</w:t>
            </w:r>
          </w:p>
          <w:p>
            <w:pPr>
              <w:spacing w:before="60" w:after="60"/>
              <w:ind w:left="45"/>
              <w:jc w:val="left"/>
            </w:pPr>
            <w:r>
              <w:rPr>
                <w:rFonts w:ascii="Arial" w:hAnsi="Arial"/>
                <w:b w:val="false"/>
                <w:i w:val="false"/>
                <w:color w:val="333333"/>
                <w:sz w:val="18"/>
              </w:rPr>
              <w:t>Dans l'application des conventions visées au premier alinéa, les États membres tiennent compte du fait que les avantages consentis dans les traités par chacun des États membres font partie intégrante de l'établissement de l'Union et sont, de ce fait, inséparablement liés à la création d'institutions communes, à l'attribution de compétences en leur faveur et à l'octroi des mêmes avantages par tous les autres États membres.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351 </w:t>
            </w:r>
          </w:p>
          <w:p>
            <w:pPr>
              <w:spacing w:before="60" w:after="60"/>
              <w:ind w:left="45"/>
              <w:jc w:val="left"/>
            </w:pPr>
            <w:r>
              <w:rPr>
                <w:rFonts w:ascii="Arial" w:hAnsi="Arial"/>
                <w:b w:val="false"/>
                <w:i w:val="false"/>
                <w:color w:val="333333"/>
                <w:sz w:val="18"/>
              </w:rPr>
              <w:t>De rechten en verplichtingen voortvloeiende uit overeenkomsten vóór 1 januari 1958 of, voor de toetredende staten, vóór de datum van hun toetreding gesloten tussen een of meer lidstaten enerzijds en een of meer derde staten anderzijds, worden door de bepalingen van de Verdragen niet aangetast.</w:t>
            </w:r>
          </w:p>
          <w:p>
            <w:pPr>
              <w:spacing w:before="60" w:after="60"/>
              <w:ind w:left="45"/>
              <w:jc w:val="left"/>
            </w:pPr>
            <w:r>
              <w:rPr>
                <w:rFonts w:ascii="Arial" w:hAnsi="Arial"/>
                <w:b w:val="false"/>
                <w:i w:val="false"/>
                <w:color w:val="333333"/>
                <w:sz w:val="18"/>
              </w:rPr>
              <w:t>Voorzover deze overeenkomsten niet verenigbaar zijn met de Verdragen maken de betrokken lidstaat of lidstaten gebruik van alle passende middelen om de vastgestelde onverenigbaarheid op te heffen. Indien nodig verlenen de lidstaten elkaar bijstand teneinde dat doel te bereiken en volgen in voorkomende gevallen een gemeenschappelijke gedragslijn.</w:t>
            </w:r>
          </w:p>
          <w:p>
            <w:pPr>
              <w:spacing w:before="60" w:after="60"/>
              <w:ind w:left="45"/>
              <w:jc w:val="left"/>
            </w:pPr>
            <w:r>
              <w:rPr>
                <w:rFonts w:ascii="Arial" w:hAnsi="Arial"/>
                <w:b w:val="false"/>
                <w:i w:val="false"/>
                <w:color w:val="333333"/>
                <w:sz w:val="18"/>
              </w:rPr>
              <w:t>Bij de toepassing van de overeenkomsten, bedoeld in de eerste alinea, houden de lidstaten rekening met het feit dat de voordelen door elke lidstaat in de Verdragen toegestaan, een wezenlijk bestanddeel uitmaken van de totstandkoming van de Unie en dientengevolge onverbrekelijk verbonden zijn met de oprichting van gemeenschappelijke instellingen, met het toekennen van bevoegdheden aan die instellingen en met het verlenen van dezelfde voordelen door de overige lidstaten.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352 </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Si une action de l'Union paraît nécessaire, dans le cadre des politiques définies par les traités, pour atteindre l'un des objectifs visés par les traités, sans que ceux-ci n'aient prévus les pouvoirs d'action requis à cet effet, le Conseil, statuant à l'unanimité sur proposition de la Commission et après approbation du Parlement européen, adopte les dispositions appropriées. Lorsque les dispositions en question sont adoptées par le Conseil conformément à une procédure législative spéciale, il statue également à l'unanimité, sur proposition de la Commission et après approbation du Parlement européen.</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La Commission, dans le cadre de la procédure de contrôle du principe de subsidiarité visée à l'article 5, paragraphe 3, du traité sur l'Union européenne, attire l'attention des parlements nationaux sur les propositions fondées sur le présent article.</w:t>
            </w:r>
          </w:p>
          <w:p>
            <w:pPr>
              <w:spacing w:before="0" w:after="0"/>
              <w:ind w:left="45"/>
              <w:jc w:val="left"/>
            </w:pP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Les mesures fondées sur le présent article ne peuvent pas comporter d'harmonisation des dispositions législatives et réglementaires des États membres dans les cas où les traités excluent une telle harmonisation.</w:t>
            </w:r>
          </w:p>
          <w:p>
            <w:pPr>
              <w:spacing w:before="0" w:after="0"/>
              <w:ind w:left="45"/>
              <w:jc w:val="left"/>
            </w:pP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Le présent article ne peut servir de fondement pour atteindre un objectif relevant de la politique étrangère et de sécurité commune et tout acte adopté conformément au présent article respecte les limites fixées par l'article 40, second alinéa, du traité sur l'Union européenne.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352 </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Indien een optreden van de Unie in het kader van de beleidsgebieden van de Verdragen nodig blijkt om een van de doelstellingen van de Verdragen te verwezenlijken zonder dat deze Verdragen in de daartoe vereiste bevoegdheden voorzien, stelt de Raad, op voorstel van de Commissie en na goedkeuring door het Europees Parlement, met eenparigheid van stemmen passende bepalingen vast. Wanneer de bepalingen door de Raad volgens een bijzondere wetgevingsprocedure worden vastgesteld, besluit hij eveneens met eenparigheid van stemmen, op voorstel van de Commissie en na goedkeuring van het Europees Parlement.</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In het kader van de in artikel 5, lid 3, van het Verdrag betreffende de Europese Unie bedoelde procedure voor toetsing aan het subsidiariteitsbeginsel vestigt de Commissie de aandacht van de nationale parlementen op de voorstellen die op het onderhavige artikel worden gebaseerd.</w:t>
            </w:r>
          </w:p>
          <w:p>
            <w:pPr>
              <w:spacing w:before="0" w:after="0"/>
              <w:ind w:left="45"/>
              <w:jc w:val="left"/>
            </w:pP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De op het onderhavige artikel gebaseerde maatregelen mogen in gevallen waarin de Verdragen zulks uitsluiten geen harmonisatie van de wettelijke of bestuursrechtelijke bepalingen van de lidstaten inhouden.</w:t>
            </w:r>
          </w:p>
          <w:p>
            <w:pPr>
              <w:spacing w:before="0" w:after="0"/>
              <w:ind w:left="45"/>
              <w:jc w:val="left"/>
            </w:pP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Dit artikel kan niet als basis kan dienen voor het verwezenlijken van doelstellingen die tot het Gemeenschappelijk Buitenlands en Veiligheidsbeleid behoren en elke overeenkomstig het huidige artikel vastgestelde handeling eerbiedigt de in artikel 40, tweede alinea, van het Verdrag betreffende de Europese Unie gestelde beperkingen.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353 </w:t>
            </w:r>
          </w:p>
          <w:p>
            <w:pPr>
              <w:spacing w:before="0" w:after="0"/>
              <w:ind w:left="45"/>
              <w:jc w:val="left"/>
            </w:pPr>
            <w:r>
              <w:rPr>
                <w:rFonts w:ascii="Arial" w:hAnsi="Arial"/>
                <w:b w:val="false"/>
                <w:i w:val="false"/>
                <w:color w:val="333333"/>
                <w:sz w:val="18"/>
              </w:rPr>
              <w:t>L'article 48, paragraphe 7, du traité sur l'Union européenne ne s'applique pas aux articles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 xml:space="preserve"> article 311, troisième et quatrième alinéas,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 xml:space="preserve"> article 312, paragraphe 2, premier alinéa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 xml:space="preserve"> article 352, 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 xml:space="preserve"> article 354.</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353 </w:t>
            </w:r>
          </w:p>
          <w:p>
            <w:pPr>
              <w:spacing w:before="0" w:after="0"/>
              <w:ind w:left="45"/>
              <w:jc w:val="left"/>
            </w:pPr>
            <w:r>
              <w:rPr>
                <w:rFonts w:ascii="Arial" w:hAnsi="Arial"/>
                <w:b w:val="false"/>
                <w:i w:val="false"/>
                <w:color w:val="333333"/>
                <w:sz w:val="18"/>
              </w:rPr>
              <w:t xml:space="preserve"> Artikel 48, lid 7, van het Verdrag betreffende de Europese Unie is niet van toepassing op onderstaande artikelen: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 xml:space="preserve"> artikel 311, derde en vierde alinea,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 xml:space="preserve"> artikel 312, lid 2, eerste alinea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 xml:space="preserve"> artikel 352, 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 xml:space="preserve"> artikel 354.</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354 </w:t>
            </w:r>
          </w:p>
          <w:p>
            <w:pPr>
              <w:spacing w:before="60" w:after="60"/>
              <w:ind w:left="45"/>
              <w:jc w:val="left"/>
            </w:pPr>
            <w:r>
              <w:rPr>
                <w:rFonts w:ascii="Arial" w:hAnsi="Arial"/>
                <w:b w:val="false"/>
                <w:i w:val="false"/>
                <w:color w:val="333333"/>
                <w:sz w:val="18"/>
              </w:rPr>
              <w:t>Aux fins de l'article 7 du traité sur l'Union européenne relatif à la suspension de certains droits résultant de l'appartenance à l'Union, le membre du Conseil européen ou du Conseil représentant l'État membre en cause ne prend pas part au vote et l'État membre en cause n'est pas pris en compte dans le calcul du tiers ou des quatre cinquièmes des États membres prévu aux paragraphes 1 et 2 dudit article. L'abstention de membres présents ou représentés ne fait pas obstacle à l'adoption des décisions visées au paragraphe 2 dudit article.</w:t>
            </w:r>
          </w:p>
          <w:p>
            <w:pPr>
              <w:spacing w:before="60" w:after="60"/>
              <w:ind w:left="45"/>
              <w:jc w:val="left"/>
            </w:pPr>
            <w:r>
              <w:rPr>
                <w:rFonts w:ascii="Arial" w:hAnsi="Arial"/>
                <w:b w:val="false"/>
                <w:i w:val="false"/>
                <w:color w:val="333333"/>
                <w:sz w:val="18"/>
              </w:rPr>
              <w:t>Pour l'adoption des décisions visées à l'article 7, paragraphes 3 et 4, du traité sur l'Union européenne, la majorité qualifiée se définit conformément à l'article 238, paragraphe 3, point b), du présent traité.</w:t>
            </w:r>
          </w:p>
          <w:p>
            <w:pPr>
              <w:spacing w:before="60" w:after="60"/>
              <w:ind w:left="45"/>
              <w:jc w:val="left"/>
            </w:pPr>
            <w:r>
              <w:rPr>
                <w:rFonts w:ascii="Arial" w:hAnsi="Arial"/>
                <w:b w:val="false"/>
                <w:i w:val="false"/>
                <w:color w:val="333333"/>
                <w:sz w:val="18"/>
              </w:rPr>
              <w:t>Lorsque, à la suite d'une décision de suspension des droits de vote adoptée conformément à l'article 7, paragraphe 3, du traité sur l'Union européenne, le Conseil statue, à la majorité qualifiée, sur la base d'une des dispositions des traités, cette majorité qualifiée se définit conformément à l'article 238, paragraphe 3, point b), du présent traité ou, si le Conseil agit sur proposition de la Commission ou du haut représentant de l'Union pour les affaires étrangères et la politique de sécurité, conformément à l'article 238, paragraphe 3, point a).</w:t>
            </w:r>
          </w:p>
          <w:p>
            <w:pPr>
              <w:spacing w:before="60" w:after="60"/>
              <w:ind w:left="45"/>
              <w:jc w:val="left"/>
            </w:pPr>
            <w:r>
              <w:rPr>
                <w:rFonts w:ascii="Arial" w:hAnsi="Arial"/>
                <w:b w:val="false"/>
                <w:i w:val="false"/>
                <w:color w:val="333333"/>
                <w:sz w:val="18"/>
              </w:rPr>
              <w:t>Aux fins de l'article 7 du traité sur l'Union européenne, le Parlement européen statue à la majorité des deux tiers des suffrages exprimés, représentant la majorité des membres qui le composent.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354 </w:t>
            </w:r>
          </w:p>
          <w:p>
            <w:pPr>
              <w:spacing w:before="60" w:after="60"/>
              <w:ind w:left="45"/>
              <w:jc w:val="left"/>
            </w:pPr>
            <w:r>
              <w:rPr>
                <w:rFonts w:ascii="Arial" w:hAnsi="Arial"/>
                <w:b w:val="false"/>
                <w:i w:val="false"/>
                <w:color w:val="333333"/>
                <w:sz w:val="18"/>
              </w:rPr>
              <w:t>Voor de toepassing van artikel 7 van het Verdrag betreffende de Europese Unie in verband met de schorsing van bepaalde rechten die voortvloeien uit het lidmaatschap van de Unie, neemt het lid van de Europese Raad of van de Raad dat de betrokken lidstaat vertegenwoordigt, niet deel aan de stemming, en de betrokken lidstaat wordt niet in aanmerking genomen bij de berekening van het in de leden 1 en 2 van dat artikel voorgeschreven derde of vier vijfde deel van de lidstaten. Onthouding van stemming door aanwezige of vertegenwoordigde leden vormt geen beletsel voor het vaststellen van de in lid 2 van dat artikel bedoelde besluiten.</w:t>
            </w:r>
          </w:p>
          <w:p>
            <w:pPr>
              <w:spacing w:before="60" w:after="60"/>
              <w:ind w:left="45"/>
              <w:jc w:val="left"/>
            </w:pPr>
            <w:r>
              <w:rPr>
                <w:rFonts w:ascii="Arial" w:hAnsi="Arial"/>
                <w:b w:val="false"/>
                <w:i w:val="false"/>
                <w:color w:val="333333"/>
                <w:sz w:val="18"/>
              </w:rPr>
              <w:t>Voor de vaststelling van de in artikel 7, leden 3 en 4 van het Verdrag betreffende de Europese Unie bedoelde besluiten, wordt de gekwalificeerde meerderheid bepaald overeenkomstig artikel 238, lid 3, onder b), van dit Verdrag.</w:t>
            </w:r>
          </w:p>
          <w:p>
            <w:pPr>
              <w:spacing w:before="60" w:after="60"/>
              <w:ind w:left="45"/>
              <w:jc w:val="left"/>
            </w:pPr>
            <w:r>
              <w:rPr>
                <w:rFonts w:ascii="Arial" w:hAnsi="Arial"/>
                <w:b w:val="false"/>
                <w:i w:val="false"/>
                <w:color w:val="333333"/>
                <w:sz w:val="18"/>
              </w:rPr>
              <w:t>Indien de Raad, ten vervolge op een overeenkomstig artikel 7, lid 3, van het Verdrag betreffende de Europese Unie vastgesteld besluit tot schorsing van de stemrechten, besluit op basis van een van de bepalingen van de Verdragen, wordt de gekwalificeerde meerderheid van stemmen gedefinieerd overeenkomstig artikel 238, lid 3, onder b), van dit Verdrag, en indien de Raad besluit op voorstel van de Commissie of van de hoge vertegenwoordiger van de Unie voor buitenlandse zaken en veiligheidsbeleid, wordt de gekwalificeerde meerderheid gedefinieerd overeenkomstig artikel 238, lid 3, onder a).</w:t>
            </w:r>
          </w:p>
          <w:p>
            <w:pPr>
              <w:spacing w:before="60" w:after="60"/>
              <w:ind w:left="45"/>
              <w:jc w:val="left"/>
            </w:pPr>
            <w:r>
              <w:rPr>
                <w:rFonts w:ascii="Arial" w:hAnsi="Arial"/>
                <w:b w:val="false"/>
                <w:i w:val="false"/>
                <w:color w:val="333333"/>
                <w:sz w:val="18"/>
              </w:rPr>
              <w:t>Voor de toepassing van artikel 7 van het Verdrag betreffende de Europese Unie besluit het Europees Parlement met een meerderheid van twee derde der uitgebrachte stemmen welke tevens de meerderheid van zijn leden vertegenwoordigt.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355 </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Outre les dispositions de l'article 52 du traité sur l'Union européenne relatives au champ d'application territoriale des traités, les dispositions suivantes s'appliquent:</w:t>
            </w:r>
          </w:p>
          <w:p>
            <w:pPr>
              <w:spacing w:before="60" w:after="60"/>
              <w:ind w:left="45"/>
              <w:jc w:val="left"/>
            </w:pPr>
            <w:r>
              <w:rPr>
                <w:rFonts w:ascii="Arial" w:hAnsi="Arial"/>
                <w:b w:val="false"/>
                <w:i w:val="false"/>
                <w:color w:val="333333"/>
                <w:sz w:val="18"/>
              </w:rPr>
              <w:t>Les dispositions des traités sont applicables à la Guadeloupe, à la Guyane française, à la Martinique, [à Mayotte], à la Réunion, [...], à Saint-Martin, aux Açores, à Madère et aux îles Canaries, conformément à l'article 349.</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Les pays et territoires d'outre-mer dont la liste figure à l'annexe II font l'objet du régime spécial d'association défini dans la quatrième partie.</w:t>
            </w:r>
          </w:p>
          <w:p>
            <w:pPr>
              <w:spacing w:before="60" w:after="60"/>
              <w:ind w:left="45"/>
              <w:jc w:val="left"/>
            </w:pPr>
            <w:r>
              <w:rPr>
                <w:rFonts w:ascii="Arial" w:hAnsi="Arial"/>
                <w:b w:val="false"/>
                <w:i w:val="false"/>
                <w:color w:val="333333"/>
                <w:sz w:val="18"/>
              </w:rPr>
              <w:t>Les traités ne s'appliquent pas aux pays et territoires d'outre-mer entretenant des relations particulières avec le Royaume-Uni de Grande-Bretagne et d'Irlande du Nord qui ne sont pas mentionnés dans la liste précitée.</w:t>
            </w:r>
          </w:p>
          <w:p>
            <w:pPr>
              <w:spacing w:before="0" w:after="0"/>
              <w:ind w:left="45"/>
              <w:jc w:val="left"/>
            </w:pP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Les dispositions des traités s'appliquent aux territoires européens dont un État membre assume les relations extérieures.</w:t>
            </w:r>
          </w:p>
          <w:p>
            <w:pPr>
              <w:spacing w:before="0" w:after="0"/>
              <w:ind w:left="45"/>
              <w:jc w:val="left"/>
            </w:pP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Les dispositions des traités s'appliquent aux îles Åland conformément aux dispositions figurant au protocole n° 2 de l'acte relatif aux conditions d'adhésion de la République d'Autriche, de la République de Finlande et du Royaume de Suède.</w:t>
            </w:r>
          </w:p>
          <w:p>
            <w:pPr>
              <w:spacing w:before="0" w:after="0"/>
              <w:ind w:left="45"/>
              <w:jc w:val="left"/>
            </w:pPr>
          </w:p>
          <w:p>
            <w:pPr>
              <w:spacing w:before="0" w:after="0"/>
              <w:ind w:left="45"/>
              <w:jc w:val="left"/>
            </w:pPr>
            <w:r>
              <w:rPr>
                <w:rFonts w:ascii="Arial" w:hAnsi="Arial"/>
                <w:b w:val="false"/>
                <w:i w:val="false"/>
                <w:color w:val="333333"/>
                <w:sz w:val="18"/>
              </w:rPr>
              <w:t xml:space="preserve">5 </w:t>
            </w:r>
          </w:p>
          <w:p>
            <w:pPr>
              <w:spacing w:before="0" w:after="0"/>
              <w:ind w:left="45"/>
              <w:jc w:val="left"/>
            </w:pPr>
            <w:r>
              <w:rPr>
                <w:rFonts w:ascii="Arial" w:hAnsi="Arial"/>
                <w:b w:val="false"/>
                <w:i w:val="false"/>
                <w:color w:val="333333"/>
                <w:sz w:val="18"/>
              </w:rPr>
              <w:t>Par dérogation à l'article 52 du traité sur l'Union européenne et aux paragraphes 1 à 4 du présent article: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traités ne s'appliquent pas aux îles Féroé;</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traités ne s'appliquent pas aux zones de souveraineté du Royaume-Uni de Grande-Bretagne et d'Irlande du Nord à Chypre;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les dispositions des traités ne sont applicables aux îles Anglo-Normandes et à l'île de Man que dans la mesure nécessaire pour assurer l'application du régime prévu pour ces îles par le traité relatif à l'adhésion de nouveaux États membres à la Communauté économique européenne et à la Communauté européenne de l'énergie atomique, signé le 22 janvier 1972.</w:t>
            </w:r>
          </w:p>
          <w:p>
            <w:pPr>
              <w:spacing w:before="0" w:after="0"/>
              <w:ind w:left="45"/>
              <w:jc w:val="left"/>
            </w:pPr>
          </w:p>
          <w:p>
            <w:pPr>
              <w:spacing w:before="0" w:after="0"/>
              <w:ind w:left="45"/>
              <w:jc w:val="left"/>
            </w:pPr>
            <w:r>
              <w:rPr>
                <w:rFonts w:ascii="Arial" w:hAnsi="Arial"/>
                <w:b w:val="false"/>
                <w:i w:val="false"/>
                <w:color w:val="333333"/>
                <w:sz w:val="18"/>
              </w:rPr>
              <w:t xml:space="preserve">6 </w:t>
            </w:r>
          </w:p>
          <w:p>
            <w:pPr>
              <w:spacing w:before="60" w:after="60"/>
              <w:ind w:left="45"/>
              <w:jc w:val="left"/>
            </w:pPr>
            <w:r>
              <w:rPr>
                <w:rFonts w:ascii="Arial" w:hAnsi="Arial"/>
                <w:b w:val="false"/>
                <w:i w:val="false"/>
                <w:color w:val="333333"/>
                <w:sz w:val="18"/>
              </w:rPr>
              <w:t>Le Conseil européen, sur initiative de l'État membre concerné, peut adopter une décision modifiant le statut à l'égard de l'Union d'un pays ou territoire danois, français ou néerlandais visé aux paragraphes 1 et 2. Le Conseil européen statue à l'unanimité, après consultation de la Commission.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355 </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Naast de bepalingen van artikel 52 van het Verdrag betreffende de Europese Unie over het territoriale toepassingsgebied van de Verdragen, gelden onderstaande bepalingen:</w:t>
            </w:r>
          </w:p>
          <w:p>
            <w:pPr>
              <w:spacing w:before="60" w:after="60"/>
              <w:ind w:left="45"/>
              <w:jc w:val="left"/>
            </w:pPr>
            <w:r>
              <w:rPr>
                <w:rFonts w:ascii="Arial" w:hAnsi="Arial"/>
                <w:b w:val="false"/>
                <w:i w:val="false"/>
                <w:color w:val="333333"/>
                <w:sz w:val="18"/>
              </w:rPr>
              <w:t>De bepalingen van de Verdragen zijn van toepassing op Guadeloupe, Frans Guyana, Martinique, [Mayotte], Réunion, [...] en Saint Martin, de Azoren, Madeira en de Canarische Eilanden, overeenkomstig artikel 349.</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landen en gebieden overzee waarvan de lijst als bijlage II is gehecht, vormen het onderwerp van de bijzondere associatieregeling omschreven in het vierde deel.</w:t>
            </w:r>
          </w:p>
          <w:p>
            <w:pPr>
              <w:spacing w:before="60" w:after="60"/>
              <w:ind w:left="45"/>
              <w:jc w:val="left"/>
            </w:pPr>
            <w:r>
              <w:rPr>
                <w:rFonts w:ascii="Arial" w:hAnsi="Arial"/>
                <w:b w:val="false"/>
                <w:i w:val="false"/>
                <w:color w:val="333333"/>
                <w:sz w:val="18"/>
              </w:rPr>
              <w:t>De Verdragen zijn niet van toepassing op de landen en gebieden overzee die met het Verenigd Koninkrijk van Groot-Brittannië en Noord-Ierland bijzondere betrekkingen onderhouden, die niet op bovengenoemde lijst voorkomen.</w:t>
            </w:r>
          </w:p>
          <w:p>
            <w:pPr>
              <w:spacing w:before="0" w:after="0"/>
              <w:ind w:left="45"/>
              <w:jc w:val="left"/>
            </w:pP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De bepalingen van de Verdragen zijn van toepassing op de Europese grondgebieden welker buitenlandse betrekkingen door een lidstaat worden behartigd.</w:t>
            </w:r>
          </w:p>
          <w:p>
            <w:pPr>
              <w:spacing w:before="0" w:after="0"/>
              <w:ind w:left="45"/>
              <w:jc w:val="left"/>
            </w:pP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De bepalingen van de Verdragen zijn van toepassing op de Åland-eilanden, overeenkomstig Protocol nr. 2 bij de Akte betreffende de toetredingsvoorwaarden van de Republiek Oostenrijk, de Republiek Finland en het Koninkrijk Zweden.</w:t>
            </w:r>
          </w:p>
          <w:p>
            <w:pPr>
              <w:spacing w:before="0" w:after="0"/>
              <w:ind w:left="45"/>
              <w:jc w:val="left"/>
            </w:pPr>
          </w:p>
          <w:p>
            <w:pPr>
              <w:spacing w:before="0" w:after="0"/>
              <w:ind w:left="45"/>
              <w:jc w:val="left"/>
            </w:pPr>
            <w:r>
              <w:rPr>
                <w:rFonts w:ascii="Arial" w:hAnsi="Arial"/>
                <w:b w:val="false"/>
                <w:i w:val="false"/>
                <w:color w:val="333333"/>
                <w:sz w:val="18"/>
              </w:rPr>
              <w:t xml:space="preserve">5 </w:t>
            </w:r>
          </w:p>
          <w:p>
            <w:pPr>
              <w:spacing w:before="0" w:after="0"/>
              <w:ind w:left="45"/>
              <w:jc w:val="left"/>
            </w:pPr>
            <w:r>
              <w:rPr>
                <w:rFonts w:ascii="Arial" w:hAnsi="Arial"/>
                <w:b w:val="false"/>
                <w:i w:val="false"/>
                <w:color w:val="333333"/>
                <w:sz w:val="18"/>
              </w:rPr>
              <w:t>In afwijking van artikel 52 van het Verdrag betreffende de Europese Unie en de leden 1 tot en met 4 van dit artikel:</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zijn de Verdragen niet van toepassing op de Faeröer;</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zijn de Verdragen niet van toepassing op de zones van Cyprus die onder de soevereiniteit van het Verenigd Koninkrijk van Groot-Brittannië en Noord-Ierland vallen;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zijn de bepalingen van de Verdragen op de Kanaaleilanden en op het eiland Man slechts van toepassing voorzover noodzakelijk ter verzekering van de toepassing van de regeling die voor deze eilanden is vastgesteld in het op 22 januari 1972 ondertekende Verdrag betreffende de toetreding van nieuwe lidstaten tot de Europese Economische Gemeenschap en de Europese Gemeenschap voor Atoomenergie.</w:t>
            </w:r>
          </w:p>
          <w:p>
            <w:pPr>
              <w:spacing w:before="0" w:after="0"/>
              <w:ind w:left="45"/>
              <w:jc w:val="left"/>
            </w:pPr>
          </w:p>
          <w:p>
            <w:pPr>
              <w:spacing w:before="0" w:after="0"/>
              <w:ind w:left="45"/>
              <w:jc w:val="left"/>
            </w:pPr>
            <w:r>
              <w:rPr>
                <w:rFonts w:ascii="Arial" w:hAnsi="Arial"/>
                <w:b w:val="false"/>
                <w:i w:val="false"/>
                <w:color w:val="333333"/>
                <w:sz w:val="18"/>
              </w:rPr>
              <w:t xml:space="preserve">6 </w:t>
            </w:r>
          </w:p>
          <w:p>
            <w:pPr>
              <w:spacing w:before="60" w:after="60"/>
              <w:ind w:left="45"/>
              <w:jc w:val="left"/>
            </w:pPr>
            <w:r>
              <w:rPr>
                <w:rFonts w:ascii="Arial" w:hAnsi="Arial"/>
                <w:b w:val="false"/>
                <w:i w:val="false"/>
                <w:color w:val="333333"/>
                <w:sz w:val="18"/>
              </w:rPr>
              <w:t>De Europese Raad kan op initiatief van de betrokken lidstaat een besluit vaststellen tot wijziging van de status ten aanzien van de Unie van een Deens, Frans of Nederlands land of gebied als bedoeld in de leden 1 en 2. De Europese Raad besluit met eenparigheid van stemmen, na raadpleging van de Commissie.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356 </w:t>
            </w:r>
          </w:p>
          <w:p>
            <w:pPr>
              <w:spacing w:before="60" w:after="60"/>
              <w:ind w:left="45"/>
              <w:jc w:val="left"/>
            </w:pPr>
            <w:r>
              <w:rPr>
                <w:rFonts w:ascii="Arial" w:hAnsi="Arial"/>
                <w:b w:val="false"/>
                <w:i w:val="false"/>
                <w:color w:val="333333"/>
                <w:sz w:val="18"/>
              </w:rPr>
              <w:t>Le présent traité est conclu pour une durée illimitée.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356 </w:t>
            </w:r>
          </w:p>
          <w:p>
            <w:pPr>
              <w:spacing w:before="60" w:after="60"/>
              <w:ind w:left="45"/>
              <w:jc w:val="left"/>
            </w:pPr>
            <w:r>
              <w:rPr>
                <w:rFonts w:ascii="Arial" w:hAnsi="Arial"/>
                <w:b w:val="false"/>
                <w:i w:val="false"/>
                <w:color w:val="333333"/>
                <w:sz w:val="18"/>
              </w:rPr>
              <w:t>Dit Verdrag wordt voor onbeperkte tijd gesloten.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357 </w:t>
            </w:r>
          </w:p>
          <w:p>
            <w:pPr>
              <w:spacing w:before="60" w:after="60"/>
              <w:ind w:left="45"/>
              <w:jc w:val="left"/>
            </w:pPr>
            <w:r>
              <w:rPr>
                <w:rFonts w:ascii="Arial" w:hAnsi="Arial"/>
                <w:b w:val="false"/>
                <w:i w:val="false"/>
                <w:color w:val="333333"/>
                <w:sz w:val="18"/>
              </w:rPr>
              <w:t>Le présent traité sera ratifié par les Hautes Parties Contractantes en conformité de leurs règles constitutionnelles respectives. Les instruments de ratification seront déposés auprès du gouvernement de la République italienne.</w:t>
            </w:r>
          </w:p>
          <w:p>
            <w:pPr>
              <w:spacing w:before="60" w:after="60"/>
              <w:ind w:left="45"/>
              <w:jc w:val="left"/>
            </w:pPr>
            <w:r>
              <w:rPr>
                <w:rFonts w:ascii="Arial" w:hAnsi="Arial"/>
                <w:b w:val="false"/>
                <w:i w:val="false"/>
                <w:color w:val="333333"/>
                <w:sz w:val="18"/>
              </w:rPr>
              <w:t>Le présent traité entrera en vigueur le premier jour du mois suivant le dépôt de l'instrument de ratification de l'État signataire qui procédera le dernier à cette formalité. Toutefois, si ce dépôt a lieu moins de quinze jours avant le début du mois suivant, l'entrée en vigueur du traité est reportée au premier jour du deuxième mois suivant la date de ce dépôt.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357 </w:t>
            </w:r>
          </w:p>
          <w:p>
            <w:pPr>
              <w:spacing w:before="60" w:after="60"/>
              <w:ind w:left="45"/>
              <w:jc w:val="left"/>
            </w:pPr>
            <w:r>
              <w:rPr>
                <w:rFonts w:ascii="Arial" w:hAnsi="Arial"/>
                <w:b w:val="false"/>
                <w:i w:val="false"/>
                <w:color w:val="333333"/>
                <w:sz w:val="18"/>
              </w:rPr>
              <w:t>Dit Verdrag zal door de Hoge Verdragsluitende Partijen worden bekrachtigd overeenkomstig hun onderscheidene grondwettelijke bepalingen. De akten van bekrachtiging zullen worden nedergelegd bij de regering van de Italiaanse Republiek.</w:t>
            </w:r>
          </w:p>
          <w:p>
            <w:pPr>
              <w:spacing w:before="60" w:after="60"/>
              <w:ind w:left="45"/>
              <w:jc w:val="left"/>
            </w:pPr>
            <w:r>
              <w:rPr>
                <w:rFonts w:ascii="Arial" w:hAnsi="Arial"/>
                <w:b w:val="false"/>
                <w:i w:val="false"/>
                <w:color w:val="333333"/>
                <w:sz w:val="18"/>
              </w:rPr>
              <w:t>Dit Verdrag treedt in werking op de eerste dag van de maand die volgt op het nederleggen van de akte van bekrachtiging door de ondertekenende staat die als laatste deze handeling verricht. Indien deze nederlegging echter minder dan vijftien dagen vóór het begin van de eerstvolgende maand plaatsvindt, wordt de inwerkingtreding van het Verdrag verschoven naar de eerste dag van de tweede maand volgende op die nederlegging.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358 </w:t>
            </w:r>
          </w:p>
          <w:p>
            <w:pPr>
              <w:spacing w:before="60" w:after="60"/>
              <w:ind w:left="45"/>
              <w:jc w:val="left"/>
            </w:pPr>
            <w:r>
              <w:rPr>
                <w:rFonts w:ascii="Arial" w:hAnsi="Arial"/>
                <w:b w:val="false"/>
                <w:i w:val="false"/>
                <w:color w:val="333333"/>
                <w:sz w:val="18"/>
              </w:rPr>
              <w:t>Les dispositions de l'article 55 du traité sur l'Union européenne sont applicables au présent traité.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358 </w:t>
            </w:r>
          </w:p>
          <w:p>
            <w:pPr>
              <w:spacing w:before="60" w:after="60"/>
              <w:ind w:left="45"/>
              <w:jc w:val="left"/>
            </w:pPr>
            <w:r>
              <w:rPr>
                <w:rFonts w:ascii="Arial" w:hAnsi="Arial"/>
                <w:b w:val="false"/>
                <w:i w:val="false"/>
                <w:color w:val="333333"/>
                <w:sz w:val="18"/>
              </w:rPr>
              <w:t>De bepalingen van artikel 55 van het Verdrag betreffende de Europese Unie gelden voor dit Verdrag.</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