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9 Limites et conditions d'exploitation</w:t>
            </w:r>
          </w:p>
          <w:p>
            <w:pPr>
              <w:spacing w:before="0" w:after="0"/>
              <w:ind w:left="45"/>
              <w:jc w:val="left"/>
            </w:pPr>
          </w:p>
          <w:p>
            <w:pPr>
              <w:spacing w:before="0" w:after="0"/>
              <w:ind w:left="45"/>
              <w:jc w:val="left"/>
            </w:pPr>
            <w:r>
              <w:rPr>
                <w:rFonts w:ascii="Arial" w:hAnsi="Arial"/>
                <w:b w:val="false"/>
                <w:i w:val="false"/>
                <w:color w:val="333333"/>
                <w:sz w:val="18"/>
              </w:rPr>
              <w:t xml:space="preserve">9.1 Introduction et portée des limites et conditions d'exploitation </w:t>
            </w:r>
          </w:p>
          <w:p>
            <w:pPr>
              <w:spacing w:before="60" w:after="60"/>
              <w:ind w:left="45"/>
              <w:jc w:val="left"/>
            </w:pPr>
            <w:r>
              <w:rPr>
                <w:rFonts w:ascii="Arial" w:hAnsi="Arial"/>
                <w:b w:val="false"/>
                <w:i w:val="false"/>
                <w:color w:val="333333"/>
                <w:sz w:val="18"/>
              </w:rPr>
              <w:t>L'exploitation des installations doit respecter un jeu de limites et conditions d'exploitation.</w:t>
            </w:r>
          </w:p>
          <w:p>
            <w:pPr>
              <w:spacing w:before="60" w:after="60"/>
              <w:ind w:left="45"/>
              <w:jc w:val="left"/>
            </w:pPr>
            <w:r>
              <w:rPr>
                <w:rFonts w:ascii="Arial" w:hAnsi="Arial"/>
                <w:b w:val="false"/>
                <w:i w:val="false"/>
                <w:color w:val="333333"/>
                <w:sz w:val="18"/>
              </w:rPr>
              <w:t>Les limites et conditions d'exploitation sont élaborées pour faire en sorte que l'installation soit exploitée conformément aux hypothèses et aux objectifs de la conception tels que documentés dans le rapport de sûreté.</w:t>
            </w:r>
          </w:p>
          <w:p>
            <w:pPr>
              <w:spacing w:before="60" w:after="60"/>
              <w:ind w:left="45"/>
              <w:jc w:val="left"/>
            </w:pPr>
            <w:r>
              <w:rPr>
                <w:rFonts w:ascii="Arial" w:hAnsi="Arial"/>
                <w:b w:val="false"/>
                <w:i w:val="false"/>
                <w:color w:val="333333"/>
                <w:sz w:val="18"/>
              </w:rPr>
              <w:t>Les limites et conditions d'exploitation font partie intégrante du rapport de sûreté et définissent les conditions d'exploitation qui doivent être rencontrées afin d'éviter les situations qui pourraient mener à des accidents ou pour atténuer les conséquences d'accidents s'ils se produisaient.</w:t>
            </w:r>
          </w:p>
          <w:p>
            <w:pPr>
              <w:spacing w:before="60" w:after="60"/>
              <w:ind w:left="45"/>
              <w:jc w:val="left"/>
            </w:pPr>
            <w:r>
              <w:rPr>
                <w:rFonts w:ascii="Arial" w:hAnsi="Arial"/>
                <w:b w:val="false"/>
                <w:i w:val="false"/>
                <w:color w:val="333333"/>
                <w:sz w:val="18"/>
              </w:rPr>
              <w:t>Les limites et conditions d'exploitation doivent inclure des limites sur les paramètres opérationnels, sur les paramètres importants pour la sûreté nucléaire, des conditions sur la disponibilité minimale d'équipement fonctionnel dans tous les états d'exploitation normale, les actions à entreprendre par le personnel d'exploitation en cas de déviation par rapport aux limites et conditions d'exploitation, ou en cas de défaillance d'équipements importants pour la sûreté nucléaire, ainsi que le temps imparti pour accomplir ces actions.</w:t>
            </w:r>
          </w:p>
          <w:p>
            <w:pPr>
              <w:spacing w:before="60" w:after="60"/>
              <w:ind w:left="45"/>
              <w:jc w:val="left"/>
            </w:pPr>
            <w:r>
              <w:rPr>
                <w:rFonts w:ascii="Arial" w:hAnsi="Arial"/>
                <w:b w:val="false"/>
                <w:i w:val="false"/>
                <w:color w:val="333333"/>
                <w:sz w:val="18"/>
              </w:rPr>
              <w:t>Les limites doivent également inclure les limites de rejets en effluents radioactifs dans l'environnement.</w:t>
            </w:r>
          </w:p>
          <w:p>
            <w:pPr>
              <w:spacing w:before="0" w:after="0"/>
              <w:ind w:left="45"/>
              <w:jc w:val="left"/>
            </w:pPr>
          </w:p>
          <w:p>
            <w:pPr>
              <w:spacing w:before="0" w:after="0"/>
              <w:ind w:left="45"/>
              <w:jc w:val="left"/>
            </w:pPr>
            <w:r>
              <w:rPr>
                <w:rFonts w:ascii="Arial" w:hAnsi="Arial"/>
                <w:b w:val="false"/>
                <w:i w:val="false"/>
                <w:color w:val="333333"/>
                <w:sz w:val="18"/>
              </w:rPr>
              <w:t xml:space="preserve">9.2 Etablissement et revue des limites et conditions d'exploitation </w:t>
            </w:r>
          </w:p>
          <w:p>
            <w:pPr>
              <w:spacing w:before="60" w:after="60"/>
              <w:ind w:left="45"/>
              <w:jc w:val="left"/>
            </w:pPr>
            <w:r>
              <w:rPr>
                <w:rFonts w:ascii="Arial" w:hAnsi="Arial"/>
                <w:b w:val="false"/>
                <w:i w:val="false"/>
                <w:color w:val="333333"/>
                <w:sz w:val="18"/>
              </w:rPr>
              <w:t>Les limites et conditions d'exploitation sont basées sur la conception et l'analyse de sûreté de l'installation, sur l'analyse de son environnement, et sur les résultats des essais de mise en service. La justification de chacune des limites et conditions d'exploitation doit être documentée.</w:t>
            </w:r>
          </w:p>
          <w:p>
            <w:pPr>
              <w:spacing w:before="60" w:after="60"/>
              <w:ind w:left="45"/>
              <w:jc w:val="left"/>
            </w:pPr>
            <w:r>
              <w:rPr>
                <w:rFonts w:ascii="Arial" w:hAnsi="Arial"/>
                <w:b w:val="false"/>
                <w:i w:val="false"/>
                <w:color w:val="333333"/>
                <w:sz w:val="18"/>
              </w:rPr>
              <w:t>Les limites et conditions d'exploitation doivent être réexaminées et modifiées si nécessaire pendant toute la durée de vie de l'installation, à la lumière du retour d'expérience applicable (incluant inspections en service, essais périodiques), de l'évolution de la technologie et des objectifs de sûreté, et à chaque fois que des modifications sont apportées à l'installation.</w:t>
            </w:r>
          </w:p>
          <w:p>
            <w:pPr>
              <w:spacing w:before="60" w:after="60"/>
              <w:ind w:left="45"/>
              <w:jc w:val="left"/>
            </w:pPr>
            <w:r>
              <w:rPr>
                <w:rFonts w:ascii="Arial" w:hAnsi="Arial"/>
                <w:b w:val="false"/>
                <w:i w:val="false"/>
                <w:color w:val="333333"/>
                <w:sz w:val="18"/>
              </w:rPr>
              <w:t>Le processus pour la modification ou la dérogation à une limite et condition d'exploitation doit être défini. Ces modifications et dérogations doivent être adéquatement justifiées par des analyses de sûreté, faire l'objet d'une revue de sûreté indépendante, interne ou externe, organisée par l'exploitant et être approuvées par l'autorité de sûreté.</w:t>
            </w:r>
          </w:p>
          <w:p>
            <w:pPr>
              <w:spacing w:before="0" w:after="0"/>
              <w:ind w:left="45"/>
              <w:jc w:val="left"/>
            </w:pPr>
          </w:p>
          <w:p>
            <w:pPr>
              <w:spacing w:before="0" w:after="0"/>
              <w:ind w:left="45"/>
              <w:jc w:val="left"/>
            </w:pPr>
            <w:r>
              <w:rPr>
                <w:rFonts w:ascii="Arial" w:hAnsi="Arial"/>
                <w:b w:val="false"/>
                <w:i w:val="false"/>
                <w:color w:val="333333"/>
                <w:sz w:val="18"/>
              </w:rPr>
              <w:t xml:space="preserve">9.3 Limites de sûreté, points de consigne des systèmes de sûreté et limites opérationnelles </w:t>
            </w:r>
          </w:p>
          <w:p>
            <w:pPr>
              <w:spacing w:before="60" w:after="60"/>
              <w:ind w:left="45"/>
              <w:jc w:val="left"/>
            </w:pPr>
            <w:r>
              <w:rPr>
                <w:rFonts w:ascii="Arial" w:hAnsi="Arial"/>
                <w:b w:val="false"/>
                <w:i w:val="false"/>
                <w:color w:val="333333"/>
                <w:sz w:val="18"/>
              </w:rPr>
              <w:t>Les limites doivent être déterminées de manière conservative, tenant compte des incertitudes du processus de l'analyse de sûreté.</w:t>
            </w:r>
          </w:p>
          <w:p>
            <w:pPr>
              <w:spacing w:before="60" w:after="60"/>
              <w:ind w:left="45"/>
              <w:jc w:val="left"/>
            </w:pPr>
            <w:r>
              <w:rPr>
                <w:rFonts w:ascii="Arial" w:hAnsi="Arial"/>
                <w:b w:val="false"/>
                <w:i w:val="false"/>
                <w:color w:val="333333"/>
                <w:sz w:val="18"/>
              </w:rPr>
              <w:t>Des marges adéquates doivent être assurées entre les valeurs de fonctionnement normales et les valeurs de consigne des systèmes de sûreté afin d'éviter une activation non désirée trop fréquente de ces systèmes.</w:t>
            </w:r>
          </w:p>
          <w:p>
            <w:pPr>
              <w:spacing w:before="0" w:after="0"/>
              <w:ind w:left="45"/>
              <w:jc w:val="left"/>
            </w:pPr>
          </w:p>
          <w:p>
            <w:pPr>
              <w:spacing w:before="0" w:after="0"/>
              <w:ind w:left="45"/>
              <w:jc w:val="left"/>
            </w:pPr>
            <w:r>
              <w:rPr>
                <w:rFonts w:ascii="Arial" w:hAnsi="Arial"/>
                <w:b w:val="false"/>
                <w:i w:val="false"/>
                <w:color w:val="333333"/>
                <w:sz w:val="18"/>
              </w:rPr>
              <w:t xml:space="preserve">9.4 Exigences inconditionnelles </w:t>
            </w:r>
          </w:p>
          <w:p>
            <w:pPr>
              <w:spacing w:before="60" w:after="60"/>
              <w:ind w:left="45"/>
              <w:jc w:val="left"/>
            </w:pPr>
            <w:r>
              <w:rPr>
                <w:rFonts w:ascii="Arial" w:hAnsi="Arial"/>
                <w:b w:val="false"/>
                <w:i w:val="false"/>
                <w:color w:val="333333"/>
                <w:sz w:val="18"/>
              </w:rPr>
              <w:t>Si une situation se présente, pour laquelle le personnel de conduite ne peut s'assurer que l'installation se trouve dans ses limites opérationnelles ou que l'installation se comporte d'une manière imprévue, des mesures doivent être prises sans délai pour ramener l'installation dans un état sûr et stable.</w:t>
            </w:r>
          </w:p>
          <w:p>
            <w:pPr>
              <w:spacing w:before="60" w:after="60"/>
              <w:ind w:left="45"/>
              <w:jc w:val="left"/>
            </w:pPr>
            <w:r>
              <w:rPr>
                <w:rFonts w:ascii="Arial" w:hAnsi="Arial"/>
                <w:b w:val="false"/>
                <w:i w:val="false"/>
                <w:color w:val="333333"/>
                <w:sz w:val="18"/>
              </w:rPr>
              <w:t>Après la survenue d'un événement anormal, y compris un arrêt non prévu de l'installation, la cause de l'événement doit être suffisamment investiguée afin que l'exploitation puisse être poursuivie ou reprise de manière sûre. Des procédures qui déterminent les actions ainsi que les évaluations à effectuer doivent être disponibles.</w:t>
            </w:r>
          </w:p>
          <w:p>
            <w:pPr>
              <w:spacing w:before="0" w:after="0"/>
              <w:ind w:left="45"/>
              <w:jc w:val="left"/>
            </w:pPr>
          </w:p>
          <w:p>
            <w:pPr>
              <w:spacing w:before="0" w:after="0"/>
              <w:ind w:left="45"/>
              <w:jc w:val="left"/>
            </w:pPr>
            <w:r>
              <w:rPr>
                <w:rFonts w:ascii="Arial" w:hAnsi="Arial"/>
                <w:b w:val="false"/>
                <w:i w:val="false"/>
                <w:color w:val="333333"/>
                <w:sz w:val="18"/>
              </w:rPr>
              <w:t xml:space="preserve">9.5 Programme de surveillance </w:t>
            </w:r>
          </w:p>
          <w:p>
            <w:pPr>
              <w:spacing w:before="60" w:after="60"/>
              <w:ind w:left="45"/>
              <w:jc w:val="left"/>
            </w:pPr>
            <w:r>
              <w:rPr>
                <w:rFonts w:ascii="Arial" w:hAnsi="Arial"/>
                <w:b w:val="false"/>
                <w:i w:val="false"/>
                <w:color w:val="333333"/>
                <w:sz w:val="18"/>
              </w:rPr>
              <w:t>Afin de garantir que les valeurs de réglage des seuils de protection ainsi que les limites et conditions d'exploitation normale sont respectées, les systèmes et composants correspondants doivent être surveillés, inspectés, vérifiés, étalonnés et testés conformément à un programme de surveillance approprié.</w:t>
            </w:r>
          </w:p>
          <w:p>
            <w:pPr>
              <w:spacing w:before="60" w:after="60"/>
              <w:ind w:left="45"/>
              <w:jc w:val="left"/>
            </w:pPr>
            <w:r>
              <w:rPr>
                <w:rFonts w:ascii="Arial" w:hAnsi="Arial"/>
                <w:b w:val="false"/>
                <w:i w:val="false"/>
                <w:color w:val="333333"/>
                <w:sz w:val="18"/>
              </w:rPr>
              <w:t>L'exploitant doit s'assurer qu'un tel programme de surveillance est établi et appliqué et que ses résultats sont évalués et archivés.</w:t>
            </w:r>
          </w:p>
          <w:p>
            <w:pPr>
              <w:spacing w:before="0" w:after="0"/>
              <w:ind w:left="45"/>
              <w:jc w:val="left"/>
            </w:pPr>
          </w:p>
          <w:p>
            <w:pPr>
              <w:spacing w:before="0" w:after="0"/>
              <w:ind w:left="45"/>
              <w:jc w:val="left"/>
            </w:pPr>
            <w:r>
              <w:rPr>
                <w:rFonts w:ascii="Arial" w:hAnsi="Arial"/>
                <w:b w:val="false"/>
                <w:i w:val="false"/>
                <w:color w:val="333333"/>
                <w:sz w:val="18"/>
              </w:rPr>
              <w:t xml:space="preserve">9.6 Ecarts </w:t>
            </w:r>
          </w:p>
          <w:p>
            <w:pPr>
              <w:spacing w:before="60" w:after="60"/>
              <w:ind w:left="45"/>
              <w:jc w:val="left"/>
            </w:pPr>
            <w:r>
              <w:rPr>
                <w:rFonts w:ascii="Arial" w:hAnsi="Arial"/>
                <w:b w:val="false"/>
                <w:i w:val="false"/>
                <w:color w:val="333333"/>
                <w:sz w:val="18"/>
              </w:rPr>
              <w:t>Quand les limites et conditions d'exploitation ne peuvent être respectées, les mesures correctrices appropriées doivent être prises immédiatement. L'exploitant doit procéder à un examen et à une évaluation de la situation et en aviser l'autorité de sûreté conformément au système établi pour la notification des incidents.</w:t>
            </w:r>
          </w:p>
          <w:p>
            <w:pPr>
              <w:spacing w:before="60" w:after="60"/>
              <w:ind w:left="45"/>
              <w:jc w:val="left"/>
            </w:pPr>
            <w:r>
              <w:rPr>
                <w:rFonts w:ascii="Arial" w:hAnsi="Arial"/>
                <w:b w:val="false"/>
                <w:i w:val="false"/>
                <w:color w:val="333333"/>
                <w:sz w:val="18"/>
              </w:rPr>
              <w:t>Les rapports de non-conformité aux limites et conditions d'exploitation doivent être suffisamment étudiés, afin notamment de s'assurer qu'une action correctrice a bien été implémentée pour aider à prévenir la reproduction d'une non-conformité similaire. Si des limites et conditions d'exploitation ont été dépassées, la cause doit être recherchée et étudiée.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9 Uitbatingslimieten en -voorwaarden</w:t>
            </w:r>
          </w:p>
          <w:p>
            <w:pPr>
              <w:spacing w:before="0" w:after="0"/>
              <w:ind w:left="45"/>
              <w:jc w:val="left"/>
            </w:pPr>
          </w:p>
          <w:p>
            <w:pPr>
              <w:spacing w:before="0" w:after="0"/>
              <w:ind w:left="45"/>
              <w:jc w:val="left"/>
            </w:pPr>
            <w:r>
              <w:rPr>
                <w:rFonts w:ascii="Arial" w:hAnsi="Arial"/>
                <w:b w:val="false"/>
                <w:i w:val="false"/>
                <w:color w:val="333333"/>
                <w:sz w:val="18"/>
              </w:rPr>
              <w:t xml:space="preserve">9.1 Invoering en reikwijdte van de uitbatingslimieten en -voorwaarden </w:t>
            </w:r>
          </w:p>
          <w:p>
            <w:pPr>
              <w:spacing w:before="60" w:after="60"/>
              <w:ind w:left="45"/>
              <w:jc w:val="left"/>
            </w:pPr>
            <w:r>
              <w:rPr>
                <w:rFonts w:ascii="Arial" w:hAnsi="Arial"/>
                <w:b w:val="false"/>
                <w:i w:val="false"/>
                <w:color w:val="333333"/>
                <w:sz w:val="18"/>
              </w:rPr>
              <w:t>Bij de uitbating van de installaties moeten een stel uitbatingslimieten en -voorwaarden nageleefd worden.</w:t>
            </w:r>
          </w:p>
          <w:p>
            <w:pPr>
              <w:spacing w:before="60" w:after="60"/>
              <w:ind w:left="45"/>
              <w:jc w:val="left"/>
            </w:pPr>
            <w:r>
              <w:rPr>
                <w:rFonts w:ascii="Arial" w:hAnsi="Arial"/>
                <w:b w:val="false"/>
                <w:i w:val="false"/>
                <w:color w:val="333333"/>
                <w:sz w:val="18"/>
              </w:rPr>
              <w:t>De uitbatingslimieten en -voorwaarden worden opgesteld om ervoor te zorgen dat de installatie wordt uitgebaat overeenkomstig de hypothesen en de ontwerpsdoelstellingen die zijn opgenomen in het veiligheidsrapport.</w:t>
            </w:r>
          </w:p>
          <w:p>
            <w:pPr>
              <w:spacing w:before="60" w:after="60"/>
              <w:ind w:left="45"/>
              <w:jc w:val="left"/>
            </w:pPr>
            <w:r>
              <w:rPr>
                <w:rFonts w:ascii="Arial" w:hAnsi="Arial"/>
                <w:b w:val="false"/>
                <w:i w:val="false"/>
                <w:color w:val="333333"/>
                <w:sz w:val="18"/>
              </w:rPr>
              <w:t>De uitbatingslimieten en -voorwaarden maken wezenlijk deel uit van het veiligheidsrapport en bepalen de uitbatingsvoorwaarden die moeten worden vervuld om situaties die tot ongevallen zouden kunnen leiden te voorkomen of om de gevolgen van ongevallen te milderen wanneer ze zich toch zouden voordoen.</w:t>
            </w:r>
          </w:p>
          <w:p>
            <w:pPr>
              <w:spacing w:before="60" w:after="60"/>
              <w:ind w:left="45"/>
              <w:jc w:val="left"/>
            </w:pPr>
            <w:r>
              <w:rPr>
                <w:rFonts w:ascii="Arial" w:hAnsi="Arial"/>
                <w:b w:val="false"/>
                <w:i w:val="false"/>
                <w:color w:val="333333"/>
                <w:sz w:val="18"/>
              </w:rPr>
              <w:t>De uitbatingslimieten en -voorwaarden moeten omvatten: limieten voor de bedrijfsparameters, limieten voor de parameters die belangrijk zijn voor de nucleaire veiligheid, voorwaarden betreffende de minimumbeschikbaarheid van de functionele uitrusting, de acties die het uitbatingpersoneel moet ondernemen bij afwijkingen van de uitbatingslimieten en -voorwaarden of bij faling van uitrustingen die belangrijk zijn voor de nucleaire veiligheid, alsook de tijd die wordt toegekend om deze acties te ondernemen.</w:t>
            </w:r>
          </w:p>
          <w:p>
            <w:pPr>
              <w:spacing w:before="60" w:after="60"/>
              <w:ind w:left="45"/>
              <w:jc w:val="left"/>
            </w:pPr>
            <w:r>
              <w:rPr>
                <w:rFonts w:ascii="Arial" w:hAnsi="Arial"/>
                <w:b w:val="false"/>
                <w:i w:val="false"/>
                <w:color w:val="333333"/>
                <w:sz w:val="18"/>
              </w:rPr>
              <w:t>De limieten moeten ook limieten omvatten betreffende de lozing van radioactieve effluenten in het milieu.</w:t>
            </w:r>
          </w:p>
          <w:p>
            <w:pPr>
              <w:spacing w:before="0" w:after="0"/>
              <w:ind w:left="45"/>
              <w:jc w:val="left"/>
            </w:pPr>
          </w:p>
          <w:p>
            <w:pPr>
              <w:spacing w:before="0" w:after="0"/>
              <w:ind w:left="45"/>
              <w:jc w:val="left"/>
            </w:pPr>
            <w:r>
              <w:rPr>
                <w:rFonts w:ascii="Arial" w:hAnsi="Arial"/>
                <w:b w:val="false"/>
                <w:i w:val="false"/>
                <w:color w:val="333333"/>
                <w:sz w:val="18"/>
              </w:rPr>
              <w:t xml:space="preserve">9.2 Opstelling en nazicht van de uitbatingslimieten en -voorwaarden </w:t>
            </w:r>
          </w:p>
          <w:p>
            <w:pPr>
              <w:spacing w:before="60" w:after="60"/>
              <w:ind w:left="45"/>
              <w:jc w:val="left"/>
            </w:pPr>
            <w:r>
              <w:rPr>
                <w:rFonts w:ascii="Arial" w:hAnsi="Arial"/>
                <w:b w:val="false"/>
                <w:i w:val="false"/>
                <w:color w:val="333333"/>
                <w:sz w:val="18"/>
              </w:rPr>
              <w:t>De uitbatingslimieten en -voorwaarden zijn gebaseerd op het ontwerp en op het analyse van de veiligheid van de installatie, op de analyse van haar omgeving en op de resultaten van de testen bij de inbedrijfstelling. De rechtvaardiging van elke van de uitbatingslimieten en -voorwaarden moet worden gedocumenteerd.</w:t>
            </w:r>
          </w:p>
          <w:p>
            <w:pPr>
              <w:spacing w:before="60" w:after="60"/>
              <w:ind w:left="45"/>
              <w:jc w:val="left"/>
            </w:pPr>
            <w:r>
              <w:rPr>
                <w:rFonts w:ascii="Arial" w:hAnsi="Arial"/>
                <w:b w:val="false"/>
                <w:i w:val="false"/>
                <w:color w:val="333333"/>
                <w:sz w:val="18"/>
              </w:rPr>
              <w:t>De uitbatingslimieten en -voorwaarden moeten opnieuw worden onderzocht en indien nodig worden gewijzigd tijdens de hele levensduur van de installatie, in het licht van de toepasbare ervaringsfeed-back (incl. inspecties tijdens de werking, periodieke testen), de evolutie van de technologie en de veiligheidsdoelstellingen en telkens wanneer er wijzigingen worden aangebracht aan de installatie.</w:t>
            </w:r>
          </w:p>
          <w:p>
            <w:pPr>
              <w:spacing w:before="60" w:after="60"/>
              <w:ind w:left="45"/>
              <w:jc w:val="left"/>
            </w:pPr>
            <w:r>
              <w:rPr>
                <w:rFonts w:ascii="Arial" w:hAnsi="Arial"/>
                <w:b w:val="false"/>
                <w:i w:val="false"/>
                <w:color w:val="333333"/>
                <w:sz w:val="18"/>
              </w:rPr>
              <w:t>Het proces voor de wijziging of afwijking van een uitbatingslimiet en -voorwaarde moet worden vastgelegd. Deze wijzigingen en afwijkingen moeten op gepaste wijze worden gerechtvaardigd door veiligheidsanalyses, moeten het voorwerp uitmaken van een onafhankelijk, intern of extern nazicht van de veiligheid, dat door de exploitant wordt georganiseerd, en moeten worden goedgekeurd door de veiligheidsautoriteit.</w:t>
            </w:r>
          </w:p>
          <w:p>
            <w:pPr>
              <w:spacing w:before="0" w:after="0"/>
              <w:ind w:left="45"/>
              <w:jc w:val="left"/>
            </w:pPr>
          </w:p>
          <w:p>
            <w:pPr>
              <w:spacing w:before="0" w:after="0"/>
              <w:ind w:left="45"/>
              <w:jc w:val="left"/>
            </w:pPr>
            <w:r>
              <w:rPr>
                <w:rFonts w:ascii="Arial" w:hAnsi="Arial"/>
                <w:b w:val="false"/>
                <w:i w:val="false"/>
                <w:color w:val="333333"/>
                <w:sz w:val="18"/>
              </w:rPr>
              <w:t xml:space="preserve">9.3 Veiligheidslimieten, instellingen van de veiligheidssystemen en operationele limieten </w:t>
            </w:r>
          </w:p>
          <w:p>
            <w:pPr>
              <w:spacing w:before="60" w:after="60"/>
              <w:ind w:left="45"/>
              <w:jc w:val="left"/>
            </w:pPr>
            <w:r>
              <w:rPr>
                <w:rFonts w:ascii="Arial" w:hAnsi="Arial"/>
                <w:b w:val="false"/>
                <w:i w:val="false"/>
                <w:color w:val="333333"/>
                <w:sz w:val="18"/>
              </w:rPr>
              <w:t>De limieten moeten op conservatieve wijze worden bepaald, rekening houdend met de onzekerheden van het proces van de veiligheidsanalyse.</w:t>
            </w:r>
          </w:p>
          <w:p>
            <w:pPr>
              <w:spacing w:before="60" w:after="60"/>
              <w:ind w:left="45"/>
              <w:jc w:val="left"/>
            </w:pPr>
            <w:r>
              <w:rPr>
                <w:rFonts w:ascii="Arial" w:hAnsi="Arial"/>
                <w:b w:val="false"/>
                <w:i w:val="false"/>
                <w:color w:val="333333"/>
                <w:sz w:val="18"/>
              </w:rPr>
              <w:t>Tussen de normale werkingswaarden en de instellingen van de veiligheidssystemen moeten geschikte marges worden vastgelegd om een te frequente ongewenste activering van deze systemen te vermijden.</w:t>
            </w:r>
          </w:p>
          <w:p>
            <w:pPr>
              <w:spacing w:before="0" w:after="0"/>
              <w:ind w:left="45"/>
              <w:jc w:val="left"/>
            </w:pPr>
          </w:p>
          <w:p>
            <w:pPr>
              <w:spacing w:before="0" w:after="0"/>
              <w:ind w:left="45"/>
              <w:jc w:val="left"/>
            </w:pPr>
            <w:r>
              <w:rPr>
                <w:rFonts w:ascii="Arial" w:hAnsi="Arial"/>
                <w:b w:val="false"/>
                <w:i w:val="false"/>
                <w:color w:val="333333"/>
                <w:sz w:val="18"/>
              </w:rPr>
              <w:t xml:space="preserve">9.4 Onvoorwaardelijke vereisten </w:t>
            </w:r>
          </w:p>
          <w:p>
            <w:pPr>
              <w:spacing w:before="60" w:after="60"/>
              <w:ind w:left="45"/>
              <w:jc w:val="left"/>
            </w:pPr>
            <w:r>
              <w:rPr>
                <w:rFonts w:ascii="Arial" w:hAnsi="Arial"/>
                <w:b w:val="false"/>
                <w:i w:val="false"/>
                <w:color w:val="333333"/>
                <w:sz w:val="18"/>
              </w:rPr>
              <w:t>Wanneer zich een situatie voordoet waarbij het bedrijfspersoneel niet kan controleren of de installatie zich binnen haar operationele limieten bevindt of wanneer de installatie zich op een onverwachte manier gedraagt, moeten onmiddellijk maatregelen worden genomen om haar weer in een veilige en stabiele toestand te brengen.</w:t>
            </w:r>
          </w:p>
          <w:p>
            <w:pPr>
              <w:spacing w:before="60" w:after="60"/>
              <w:ind w:left="45"/>
              <w:jc w:val="left"/>
            </w:pPr>
            <w:r>
              <w:rPr>
                <w:rFonts w:ascii="Arial" w:hAnsi="Arial"/>
                <w:b w:val="false"/>
                <w:i w:val="false"/>
                <w:color w:val="333333"/>
                <w:sz w:val="18"/>
              </w:rPr>
              <w:t>Na een abnormaal voorval, een onvoorziene uitschakeling van de installatie inbegrepen, moet de oorzaak van het voorval voldoende worden onderzocht om de uitbating op een veilige manier te kunnen voortzetten of hernemen. Er moeten procedures beschikbaar zijn die de acties en uit te voeren evaluaties bepalen.</w:t>
            </w:r>
          </w:p>
          <w:p>
            <w:pPr>
              <w:spacing w:before="0" w:after="0"/>
              <w:ind w:left="45"/>
              <w:jc w:val="left"/>
            </w:pPr>
          </w:p>
          <w:p>
            <w:pPr>
              <w:spacing w:before="0" w:after="0"/>
              <w:ind w:left="45"/>
              <w:jc w:val="left"/>
            </w:pPr>
            <w:r>
              <w:rPr>
                <w:rFonts w:ascii="Arial" w:hAnsi="Arial"/>
                <w:b w:val="false"/>
                <w:i w:val="false"/>
                <w:color w:val="333333"/>
                <w:sz w:val="18"/>
              </w:rPr>
              <w:t xml:space="preserve">9.5 Toezichtsprogramma </w:t>
            </w:r>
          </w:p>
          <w:p>
            <w:pPr>
              <w:spacing w:before="60" w:after="60"/>
              <w:ind w:left="45"/>
              <w:jc w:val="left"/>
            </w:pPr>
            <w:r>
              <w:rPr>
                <w:rFonts w:ascii="Arial" w:hAnsi="Arial"/>
                <w:b w:val="false"/>
                <w:i w:val="false"/>
                <w:color w:val="333333"/>
                <w:sz w:val="18"/>
              </w:rPr>
              <w:t>Om te garanderen dat de instelwaarden van de beschermingsdrempels en de normale uitbatingslimieten en -voorwaarden worden nageleefd, moeten de overeenstemmende systemen en componenten worden bewaakt, geïnspecteerd, geverifieerd, geijkt en getest volgens een gepast toezichtsprogramma.</w:t>
            </w:r>
          </w:p>
          <w:p>
            <w:pPr>
              <w:spacing w:before="60" w:after="60"/>
              <w:ind w:left="45"/>
              <w:jc w:val="left"/>
            </w:pPr>
            <w:r>
              <w:rPr>
                <w:rFonts w:ascii="Arial" w:hAnsi="Arial"/>
                <w:b w:val="false"/>
                <w:i w:val="false"/>
                <w:color w:val="333333"/>
                <w:sz w:val="18"/>
              </w:rPr>
              <w:t>De exploitant moet er zich van vergewissen dat een dergelijk toezichtsprogramma werd opgesteld en wordt toegepast en dat de resultaten worden geëvalueerd en gearchiveerd.</w:t>
            </w:r>
          </w:p>
          <w:p>
            <w:pPr>
              <w:spacing w:before="0" w:after="0"/>
              <w:ind w:left="45"/>
              <w:jc w:val="left"/>
            </w:pPr>
          </w:p>
          <w:p>
            <w:pPr>
              <w:spacing w:before="0" w:after="0"/>
              <w:ind w:left="45"/>
              <w:jc w:val="left"/>
            </w:pPr>
            <w:r>
              <w:rPr>
                <w:rFonts w:ascii="Arial" w:hAnsi="Arial"/>
                <w:b w:val="false"/>
                <w:i w:val="false"/>
                <w:color w:val="333333"/>
                <w:sz w:val="18"/>
              </w:rPr>
              <w:t xml:space="preserve">9.6 Afwijkingen </w:t>
            </w:r>
          </w:p>
          <w:p>
            <w:pPr>
              <w:spacing w:before="60" w:after="60"/>
              <w:ind w:left="45"/>
              <w:jc w:val="left"/>
            </w:pPr>
            <w:r>
              <w:rPr>
                <w:rFonts w:ascii="Arial" w:hAnsi="Arial"/>
                <w:b w:val="false"/>
                <w:i w:val="false"/>
                <w:color w:val="333333"/>
                <w:sz w:val="18"/>
              </w:rPr>
              <w:t>Wanneer de uitbatingslimieten en -voorwaarden niet kunnen worden nageleefd, moeten onmiddellijk de gepaste corrigerende maatregelen worden genomen. De exploitant moet de situatie onderzoeken en evalueren en de veiligheidsautoriteit op de hoogte brengen volgens het systeem voor de melding van incidenten.</w:t>
            </w:r>
          </w:p>
          <w:p>
            <w:pPr>
              <w:spacing w:before="60" w:after="60"/>
              <w:ind w:left="45"/>
              <w:jc w:val="left"/>
            </w:pPr>
            <w:r>
              <w:rPr>
                <w:rFonts w:ascii="Arial" w:hAnsi="Arial"/>
                <w:b w:val="false"/>
                <w:i w:val="false"/>
                <w:color w:val="333333"/>
                <w:sz w:val="18"/>
              </w:rPr>
              <w:t>De verslagen m.b.t. de non-conformiteit met de uitbatingslimieten en -voorwaarden moeten voldoende onderzocht worden, met name om na te gaan of een corrigerende actie die ertoe bijdraagt dat een dergelijke non-conformiteit zich niet meer kan voordoen, goed werd geïmplementeerd. Als er uitbatingslimieten en -voorwaarden werden overschreden, moet de oorzaak worden opgespoord en onderzocht.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