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8560"/>
        <w:gridCol w:w="8560"/>
      </w:tblGrid>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05/06/12 Niveaux d'exemption pour le Ge-69, en complément du tableau A</w:t>
            </w:r>
            <w:r>
              <w:br/>
            </w:r>
            <w:r>
              <w:rPr>
                <w:rFonts w:ascii="Arial" w:hAnsi="Arial"/>
                <w:b/>
                <w:i w:val="false"/>
                <w:color w:val="333333"/>
              </w:rPr>
              <w:t>Arrêté de l'Agence fédérale de Contrôle nucléaire du 5 juin 2012 fixant les niveaux d'exemption pour le Ge-69, en complément du tableau A de l'annexe IreA du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 annexe IA;</w:t>
            </w:r>
          </w:p>
          <w:p>
            <w:pPr>
              <w:spacing w:before="0" w:after="0"/>
              <w:ind w:left="45"/>
              <w:jc w:val="left"/>
            </w:pPr>
            <w:r>
              <w:rPr>
                <w:rFonts w:ascii="Arial" w:hAnsi="Arial"/>
                <w:b w:val="false"/>
                <w:i w:val="false"/>
                <w:color w:val="333333"/>
                <w:sz w:val="18"/>
              </w:rPr>
              <w:t>Considérant que pour le Ge-69 des niveaux d'exemption ont été fixés dans les prescriptions de sûreté IAEA-GSR, part 3 (édition provisoire 2011) de l'Agence internationale de l'Energie atomique;</w:t>
            </w:r>
          </w:p>
          <w:p>
            <w:pPr>
              <w:spacing w:before="0" w:after="0"/>
              <w:ind w:left="45"/>
              <w:jc w:val="left"/>
            </w:pPr>
            <w:r>
              <w:rPr>
                <w:rFonts w:ascii="Arial" w:hAnsi="Arial"/>
                <w:b w:val="false"/>
                <w:i w:val="false"/>
                <w:color w:val="333333"/>
                <w:sz w:val="18"/>
              </w:rPr>
              <w:t>Considérant que les niveaux d'exemption repris dans les prescriptions de sûreté IAEA-GSR, part 3 (édition provisoire 2011) de l'Agence internationale de l'Energie atomique ont été fixés en tenant compte des critères d'exemption repris à l'annexe IreA de l'arrêté royal précité du 20 juillet 2001,</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 xml:space="preserve">05/06/12 Vaststelling van de vrijstellingsniveaus voor Ge-69 </w:t>
            </w:r>
            <w:r>
              <w:br/>
            </w:r>
            <w:r>
              <w:rPr>
                <w:rFonts w:ascii="Arial" w:hAnsi="Arial"/>
                <w:b/>
                <w:i w:val="false"/>
                <w:color w:val="333333"/>
              </w:rPr>
              <w:t>Besluit van het Federaal Agentschap voor Nucleaire Controle van 5 juni 2012 tot vaststelling van de vrijstellingsniveaus voor Ge-69 ter vervollediging van tabel A van bijlage IA van het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 bijlage IA;</w:t>
            </w:r>
          </w:p>
          <w:p>
            <w:pPr>
              <w:spacing w:before="0" w:after="0"/>
              <w:ind w:left="45"/>
              <w:jc w:val="left"/>
            </w:pPr>
            <w:r>
              <w:rPr>
                <w:rFonts w:ascii="Arial" w:hAnsi="Arial"/>
                <w:b w:val="false"/>
                <w:i w:val="false"/>
                <w:color w:val="333333"/>
                <w:sz w:val="18"/>
              </w:rPr>
              <w:t>Overwegende dat voor het radionuclide Ge-69 vrijstellingsniveaus werden vastgelegd in de veiligheidsvoorschriften IAEA-GSR, part 3 (interim editie 2011) van het Internationale Atoomenergie Agentschap;</w:t>
            </w:r>
          </w:p>
          <w:p>
            <w:pPr>
              <w:spacing w:before="0" w:after="0"/>
              <w:ind w:left="45"/>
              <w:jc w:val="left"/>
            </w:pPr>
            <w:r>
              <w:rPr>
                <w:rFonts w:ascii="Arial" w:hAnsi="Arial"/>
                <w:b w:val="false"/>
                <w:i w:val="false"/>
                <w:color w:val="333333"/>
                <w:sz w:val="18"/>
              </w:rPr>
              <w:t>Overwegende dat de vrijstellingsniveaus in de veiligheidsvoorschriften IAEA-GSR, part 3 (interim editie 2011) van het Internationale Atoomenergie Agentschap vastgelegd werden met inachtneming van de criteria voor vrijstelling die in bijlage IA van voornoemd koninklijk besluit van 20 juli 2001 zijn opgenomen,</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1.er </w:t>
            </w:r>
          </w:p>
          <w:p>
            <w:pPr>
              <w:spacing w:before="60" w:after="60"/>
              <w:ind w:left="45"/>
              <w:jc w:val="left"/>
            </w:pPr>
            <w:r>
              <w:rPr>
                <w:rFonts w:ascii="Arial" w:hAnsi="Arial"/>
                <w:b w:val="false"/>
                <w:i w:val="false"/>
                <w:color w:val="333333"/>
                <w:sz w:val="18"/>
              </w:rPr>
              <w:t>Niveaux d'exemption complémentaires.</w:t>
            </w:r>
          </w:p>
          <w:p>
            <w:pPr>
              <w:spacing w:before="60" w:after="60"/>
              <w:ind w:left="45"/>
              <w:jc w:val="left"/>
            </w:pPr>
            <w:r>
              <w:rPr>
                <w:rFonts w:ascii="Arial" w:hAnsi="Arial"/>
                <w:b w:val="false"/>
                <w:i w:val="false"/>
                <w:color w:val="333333"/>
                <w:sz w:val="18"/>
              </w:rPr>
              <w:t>En complément du tableau A de l'Annexe IreA de l'arrêté royal du 20 juillet 2001 portant règlement général de la protection de la population, des travailleurs et de l'environnement contre le danger des rayonnements ionisants, les niveaux d'exemption suivants sont d'application:</w:t>
            </w:r>
          </w:p>
          <w:tbl>
            <w:tblPr>
              <w:tblW w:w="0" w:type="auto"/>
              <w:tblCellSpacing w:w="0" w:type="dxa"/>
              <w:tblBorders>
                <w:top w:val="none"/>
                <w:left w:val="none"/>
                <w:bottom w:val="none"/>
                <w:right w:val="none"/>
                <w:insideH w:val="none"/>
                <w:insideV w:val="none"/>
              </w:tblBorders>
            </w:tblPr>
            <w:tblGrid>
              <w:gridCol w:w="2786"/>
              <w:gridCol w:w="2787"/>
              <w:gridCol w:w="2787"/>
            </w:tblGrid>
            <w:tr>
              <w:trPr>
                <w:trHeight w:val="300" w:hRule="atLeast"/>
              </w:trPr>
              <w:tc>
                <w:tcPr>
                  <w:tcW w:w="2786"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Nucléide</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Quantité (Bq)</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Concentration (kBq/kg)</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Ge-69</w:t>
                  </w:r>
                </w:p>
              </w:tc>
              <w:tc>
                <w:tcPr>
                  <w:tcW w:w="2787"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10</w:t>
                  </w:r>
                </w:p>
              </w:tc>
            </w:tr>
          </w:tbl>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 </w:t>
            </w:r>
          </w:p>
          <w:p>
            <w:pPr>
              <w:spacing w:before="60" w:after="60"/>
              <w:ind w:left="45"/>
              <w:jc w:val="left"/>
            </w:pPr>
            <w:r>
              <w:rPr>
                <w:rFonts w:ascii="Arial" w:hAnsi="Arial"/>
                <w:b w:val="false"/>
                <w:i w:val="false"/>
                <w:color w:val="333333"/>
                <w:sz w:val="18"/>
              </w:rPr>
              <w:t>Vervolledigende vrijstellingsniveaus.</w:t>
            </w:r>
          </w:p>
          <w:p>
            <w:pPr>
              <w:spacing w:before="60" w:after="60"/>
              <w:ind w:left="45"/>
              <w:jc w:val="left"/>
            </w:pPr>
            <w:r>
              <w:rPr>
                <w:rFonts w:ascii="Arial" w:hAnsi="Arial"/>
                <w:b w:val="false"/>
                <w:i w:val="false"/>
                <w:color w:val="333333"/>
                <w:sz w:val="18"/>
              </w:rPr>
              <w:t>Ter vervollediging van tabel A van bijlage IA van het koninklijk besluit van 20 juli 2001 houdende algemeen reglement op de bescherming van de bevolking, van de werknemers en het leefmilieu tegen het gevaar van de ioniserende stralingen gelden de volgende vrijstellingsniveaus:</w:t>
            </w:r>
          </w:p>
          <w:tbl>
            <w:tblPr>
              <w:tblW w:w="0" w:type="auto"/>
              <w:tblCellSpacing w:w="0" w:type="dxa"/>
              <w:tblBorders>
                <w:top w:val="none"/>
                <w:left w:val="none"/>
                <w:bottom w:val="none"/>
                <w:right w:val="none"/>
                <w:insideH w:val="none"/>
                <w:insideV w:val="none"/>
              </w:tblBorders>
            </w:tblPr>
            <w:tblGrid>
              <w:gridCol w:w="2786"/>
              <w:gridCol w:w="2787"/>
              <w:gridCol w:w="2787"/>
            </w:tblGrid>
            <w:tr>
              <w:trPr>
                <w:trHeight w:val="300" w:hRule="atLeast"/>
              </w:trPr>
              <w:tc>
                <w:tcPr>
                  <w:tcW w:w="2786"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Nuclide</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Hoeveelheid (Bq)</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i w:val="false"/>
                      <w:color w:val="333333"/>
                      <w:sz w:val="18"/>
                    </w:rPr>
                    <w:t>Concentratie (kBq/kg)</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Ge-69</w:t>
                  </w:r>
                </w:p>
              </w:tc>
              <w:tc>
                <w:tcPr>
                  <w:tcW w:w="2787"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center"/>
                </w:tcPr>
                <w:p>
                  <w:pPr>
                    <w:spacing w:before="0" w:after="0"/>
                    <w:ind w:left="75"/>
                    <w:jc w:val="left"/>
                  </w:pPr>
                  <w:r>
                    <w:rPr>
                      <w:rFonts w:ascii="Arial" w:hAnsi="Arial"/>
                      <w:b w:val="false"/>
                      <w:i w:val="false"/>
                      <w:color w:val="333333"/>
                      <w:sz w:val="18"/>
                    </w:rPr>
                    <w:t>10</w:t>
                  </w:r>
                </w:p>
              </w:tc>
            </w:tr>
          </w:tbl>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2 </w:t>
            </w:r>
          </w:p>
          <w:p>
            <w:pPr>
              <w:spacing w:before="60" w:after="60"/>
              <w:ind w:left="45"/>
              <w:jc w:val="left"/>
            </w:pPr>
            <w:r>
              <w:rPr>
                <w:rFonts w:ascii="Arial" w:hAnsi="Arial"/>
                <w:b w:val="false"/>
                <w:i w:val="false"/>
                <w:color w:val="333333"/>
                <w:sz w:val="18"/>
              </w:rPr>
              <w:t>Disposition finale.</w:t>
            </w:r>
          </w:p>
          <w:p>
            <w:pPr>
              <w:spacing w:before="60" w:after="60"/>
              <w:ind w:left="45"/>
              <w:jc w:val="left"/>
            </w:pPr>
            <w:r>
              <w:rPr>
                <w:rFonts w:ascii="Arial" w:hAnsi="Arial"/>
                <w:b w:val="false"/>
                <w:i w:val="false"/>
                <w:color w:val="333333"/>
                <w:sz w:val="18"/>
              </w:rPr>
              <w:t xml:space="preserve">Le présent arrêté entre en vigueur le jour de sa publication au </w:t>
            </w:r>
            <w:r>
              <w:rPr>
                <w:rFonts w:ascii="Arial" w:hAnsi="Arial"/>
                <w:b w:val="false"/>
                <w:i/>
                <w:color w:val="333333"/>
                <w:sz w:val="18"/>
              </w:rPr>
              <w:t>Moniteur belge</w:t>
            </w: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2 </w:t>
            </w:r>
          </w:p>
          <w:p>
            <w:pPr>
              <w:spacing w:before="60" w:after="60"/>
              <w:ind w:left="45"/>
              <w:jc w:val="left"/>
            </w:pPr>
            <w:r>
              <w:rPr>
                <w:rFonts w:ascii="Arial" w:hAnsi="Arial"/>
                <w:b w:val="false"/>
                <w:i w:val="false"/>
                <w:color w:val="333333"/>
                <w:sz w:val="18"/>
              </w:rPr>
              <w:t>Slotbepaling.</w:t>
            </w:r>
          </w:p>
          <w:p>
            <w:pPr>
              <w:spacing w:before="60" w:after="60"/>
              <w:ind w:left="45"/>
              <w:jc w:val="left"/>
            </w:pPr>
            <w:r>
              <w:rPr>
                <w:rFonts w:ascii="Arial" w:hAnsi="Arial"/>
                <w:b w:val="false"/>
                <w:i w:val="false"/>
                <w:color w:val="333333"/>
                <w:sz w:val="18"/>
              </w:rPr>
              <w:t xml:space="preserve">Dit besluit treedt in werking op de dag van publicatie in het </w:t>
            </w:r>
            <w:r>
              <w:rPr>
                <w:rFonts w:ascii="Arial" w:hAnsi="Arial"/>
                <w:b w:val="false"/>
                <w:i/>
                <w:color w:val="333333"/>
                <w:sz w:val="18"/>
              </w:rPr>
              <w:t>Belgisch Staatsblad</w:t>
            </w: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