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34 Opvangen, behandelen en verwijderen van vloeibare afvalstoffen</w:t>
            </w:r>
          </w:p>
          <w:p>
            <w:pPr>
              <w:spacing w:before="0" w:after="0"/>
              <w:ind w:left="45"/>
              <w:jc w:val="left"/>
            </w:pPr>
          </w:p>
          <w:p>
            <w:pPr>
              <w:spacing w:before="0" w:after="0"/>
              <w:ind w:left="45"/>
              <w:jc w:val="left"/>
            </w:pPr>
            <w:r>
              <w:rPr>
                <w:rFonts w:ascii="Arial" w:hAnsi="Arial"/>
                <w:b w:val="false"/>
                <w:i w:val="false"/>
                <w:color w:val="333333"/>
                <w:sz w:val="18"/>
              </w:rPr>
              <w:t xml:space="preserve">34.1 </w:t>
            </w:r>
          </w:p>
          <w:p>
            <w:pPr>
              <w:spacing w:before="60" w:after="60"/>
              <w:ind w:left="45"/>
              <w:jc w:val="left"/>
            </w:pPr>
            <w:r>
              <w:rPr>
                <w:rFonts w:ascii="Arial" w:hAnsi="Arial"/>
                <w:b w:val="false"/>
                <w:i w:val="false"/>
                <w:color w:val="333333"/>
                <w:sz w:val="18"/>
              </w:rPr>
              <w:t>De lozing van vloeibare radioactieve afvalstoffen in de bodem is verboden.</w:t>
            </w:r>
          </w:p>
          <w:p>
            <w:pPr>
              <w:spacing w:before="0" w:after="0"/>
              <w:ind w:left="45"/>
              <w:jc w:val="left"/>
            </w:pPr>
          </w:p>
          <w:p>
            <w:pPr>
              <w:spacing w:before="0" w:after="0"/>
              <w:ind w:left="45"/>
              <w:jc w:val="left"/>
            </w:pPr>
            <w:r>
              <w:rPr>
                <w:rFonts w:ascii="Arial" w:hAnsi="Arial"/>
                <w:b w:val="false"/>
                <w:i w:val="false"/>
                <w:color w:val="333333"/>
                <w:sz w:val="18"/>
              </w:rPr>
              <w:t xml:space="preserve">34.2 </w:t>
            </w:r>
          </w:p>
          <w:p>
            <w:pPr>
              <w:spacing w:before="60" w:after="60"/>
              <w:ind w:left="45"/>
              <w:jc w:val="left"/>
            </w:pPr>
            <w:r>
              <w:rPr>
                <w:rFonts w:ascii="Arial" w:hAnsi="Arial"/>
                <w:b w:val="false"/>
                <w:i w:val="false"/>
                <w:color w:val="333333"/>
                <w:sz w:val="18"/>
              </w:rPr>
              <w:t>De lozing van radioactieve vloeibare afvalstoffen in de oppervlaktewateren of in de riolering is verboden wanneer de concentratie aan radionucliden, uitgedrukt in Bq/l, het duizendste overschrijdt van de limiet van de jaarlijkse opname door ingestie voor een volwassen persoon van het publiek, berekend volgens de bepalingen van Bijlage III, punt D. De waarden zijn gegeven in tabel H1 van dezelfde bijlage.</w:t>
            </w:r>
          </w:p>
          <w:p>
            <w:pPr>
              <w:spacing w:before="60" w:after="60"/>
              <w:ind w:left="45"/>
              <w:jc w:val="left"/>
            </w:pPr>
            <w:r>
              <w:rPr>
                <w:rFonts w:ascii="Arial" w:hAnsi="Arial"/>
                <w:b w:val="false"/>
                <w:i w:val="false"/>
                <w:color w:val="333333"/>
                <w:sz w:val="18"/>
              </w:rPr>
              <w:t>De vergunningen afgeleverd aan de inrichtingen van klasse I en II, overeenkomstig de bepalingen van dit reglement, mogen van dit verbod afwijken. In dit geval stellen ze hetzij de ogenblikkelijke en gemiddelde maximaal toelaatbare concentraties vast van de radionucliden die in de afvalstoffen kunnen aanwezig zijn, hetzij de totale activiteit die in een bepaalde tijdsduur mag geloosd worden, hetzij beide tegelijkertijd.</w:t>
            </w:r>
          </w:p>
          <w:p>
            <w:pPr>
              <w:spacing w:before="0" w:after="0"/>
              <w:ind w:left="45"/>
              <w:jc w:val="left"/>
            </w:pPr>
          </w:p>
          <w:p>
            <w:pPr>
              <w:spacing w:before="0" w:after="0"/>
              <w:ind w:left="45"/>
              <w:jc w:val="left"/>
            </w:pPr>
            <w:r>
              <w:rPr>
                <w:rFonts w:ascii="Arial" w:hAnsi="Arial"/>
                <w:b w:val="false"/>
                <w:i w:val="false"/>
                <w:color w:val="333333"/>
                <w:sz w:val="18"/>
              </w:rPr>
              <w:t xml:space="preserve">34.3 </w:t>
            </w:r>
          </w:p>
          <w:p>
            <w:pPr>
              <w:spacing w:before="60" w:after="60"/>
              <w:ind w:left="45"/>
              <w:jc w:val="left"/>
            </w:pPr>
            <w:r>
              <w:rPr>
                <w:rFonts w:ascii="Arial" w:hAnsi="Arial"/>
                <w:b w:val="false"/>
                <w:i w:val="false"/>
                <w:color w:val="333333"/>
                <w:sz w:val="18"/>
              </w:rPr>
              <w:t>De vloeibare afvalstoffen waarvan de concentratie aan radionucliden groter is dan de limieten die worden vastgesteld in artikel 34.2, of dan de voorwaarden die worden vastgesteld in de afgeleverde vergunningen en die daarom dus niet kunnen worden geloosd, dienen te worden opgeslagen in hermetisch gesloten recipiënten waardoor er voldoende bescherming wordt geboden, met het oog op hun behandeling of met het oog op hun eventuele lozing nadat de activiteit werd teruggebracht tot de limieten bepaald in artikel 34.2 door verval of na verdunning; dit laatste procédé mag enkel worden gebruikt indien dit expliciet is toegestaan in de vergunning. In elk geval moeten de recipiënten die radioactieve vloeibare afvalstoffen bevatten, worden opgeslagen in een systeem dat eventuele lekken doeltreffend kan opvangen.</w:t>
            </w:r>
          </w:p>
          <w:p>
            <w:pPr>
              <w:spacing w:before="0" w:after="0"/>
              <w:ind w:left="45"/>
              <w:jc w:val="left"/>
            </w:pPr>
          </w:p>
          <w:p>
            <w:pPr>
              <w:spacing w:before="0" w:after="0"/>
              <w:ind w:left="45"/>
              <w:jc w:val="left"/>
            </w:pPr>
            <w:r>
              <w:rPr>
                <w:rFonts w:ascii="Arial" w:hAnsi="Arial"/>
                <w:b w:val="false"/>
                <w:i w:val="false"/>
                <w:color w:val="333333"/>
                <w:sz w:val="18"/>
              </w:rPr>
              <w:t xml:space="preserve">34.4 </w:t>
            </w:r>
          </w:p>
          <w:p>
            <w:pPr>
              <w:spacing w:before="60" w:after="60"/>
              <w:ind w:left="45"/>
              <w:jc w:val="left"/>
            </w:pPr>
            <w:r>
              <w:rPr>
                <w:rFonts w:ascii="Arial" w:hAnsi="Arial"/>
                <w:b w:val="false"/>
                <w:i w:val="false"/>
                <w:color w:val="333333"/>
                <w:sz w:val="18"/>
              </w:rPr>
              <w:t>Tijdens de ganse duur van de opslag en de behandeling, worden die maatregelen getroffen die noodzakelijk zijn om elk risico op verspreiding van radioactieve stoffen, in welke vorm ook, te vermijden en om te voorkomen dat de radioactieve vloeistoffen ongecontroleerd zouden gaan gisten. De behandeling is aangepast aan de aard, de toxiciteit en de activiteit van de aanwezige radionucliden.</w:t>
            </w:r>
          </w:p>
          <w:p>
            <w:pPr>
              <w:spacing w:before="60" w:after="60"/>
              <w:ind w:left="45"/>
              <w:jc w:val="left"/>
            </w:pPr>
            <w:r>
              <w:rPr>
                <w:rFonts w:ascii="Arial" w:hAnsi="Arial"/>
                <w:b w:val="false"/>
                <w:i w:val="false"/>
                <w:color w:val="333333"/>
                <w:sz w:val="18"/>
              </w:rPr>
              <w:t>Het radioactieve slib of neerslag die worden verkregen na behandeling, worden na eventuele droging behandeld als vaste afvalstoffen.</w:t>
            </w:r>
          </w:p>
          <w:p>
            <w:pPr>
              <w:spacing w:before="0" w:after="0"/>
              <w:ind w:left="45"/>
              <w:jc w:val="left"/>
            </w:pPr>
          </w:p>
          <w:p>
            <w:pPr>
              <w:spacing w:before="0" w:after="0"/>
              <w:ind w:left="45"/>
              <w:jc w:val="left"/>
            </w:pPr>
            <w:r>
              <w:rPr>
                <w:rFonts w:ascii="Arial" w:hAnsi="Arial"/>
                <w:b w:val="false"/>
                <w:i w:val="false"/>
                <w:color w:val="333333"/>
                <w:sz w:val="18"/>
              </w:rPr>
              <w:t xml:space="preserve">34.5 </w:t>
            </w:r>
          </w:p>
          <w:p>
            <w:pPr>
              <w:spacing w:before="60" w:after="60"/>
              <w:ind w:left="45"/>
              <w:jc w:val="left"/>
            </w:pPr>
            <w:r>
              <w:rPr>
                <w:rFonts w:ascii="Arial" w:hAnsi="Arial"/>
                <w:b w:val="false"/>
                <w:i w:val="false"/>
                <w:color w:val="333333"/>
                <w:sz w:val="18"/>
              </w:rPr>
              <w:t xml:space="preserve">De totale activiteit van de vloeibare radioactieve afvalstoffen die worden geloosd moet zo laag gehouden worden als redelijkerwijze mogelijk is. Het Agentschap kan, via een algemene richtlijn gepubliceerd in het </w:t>
            </w:r>
            <w:r>
              <w:rPr>
                <w:rFonts w:ascii="Arial" w:hAnsi="Arial"/>
                <w:b w:val="false"/>
                <w:i/>
                <w:color w:val="333333"/>
                <w:sz w:val="18"/>
              </w:rPr>
              <w:t>Belgisch Staatsblad</w:t>
            </w:r>
            <w:r>
              <w:rPr>
                <w:rFonts w:ascii="Arial" w:hAnsi="Arial"/>
                <w:b w:val="false"/>
                <w:i w:val="false"/>
                <w:color w:val="333333"/>
                <w:sz w:val="18"/>
              </w:rPr>
              <w:t>, limieten opleggen voor de totale activiteit van de vloeibare radioactieve afvalstoffen, die binnen een bepaald tijdsbestek, door een bepaalde inrichting mogen worden geloosd.</w:t>
            </w:r>
          </w:p>
          <w:p>
            <w:pPr>
              <w:spacing w:before="0" w:after="0"/>
              <w:ind w:left="45"/>
              <w:jc w:val="left"/>
            </w:pPr>
          </w:p>
          <w:p>
            <w:pPr>
              <w:spacing w:before="0" w:after="0"/>
              <w:ind w:left="45"/>
              <w:jc w:val="left"/>
            </w:pPr>
            <w:r>
              <w:rPr>
                <w:rFonts w:ascii="Arial" w:hAnsi="Arial"/>
                <w:b w:val="false"/>
                <w:i w:val="false"/>
                <w:color w:val="333333"/>
                <w:sz w:val="18"/>
              </w:rPr>
              <w:t xml:space="preserve">[34.6 </w:t>
            </w:r>
          </w:p>
          <w:p>
            <w:pPr>
              <w:spacing w:before="60" w:after="60"/>
              <w:ind w:left="45"/>
              <w:jc w:val="left"/>
            </w:pPr>
            <w:r>
              <w:rPr>
                <w:rFonts w:ascii="Arial" w:hAnsi="Arial"/>
                <w:b w:val="false"/>
                <w:i w:val="false"/>
                <w:color w:val="333333"/>
                <w:sz w:val="18"/>
              </w:rPr>
              <w:t>De verwijdering, de afvoer voor recyclage of hergebruik van vloeibare radioactieve afvalstoffen afkomstig van een inrichting van klasse I, II of III, die niet geloosd kunnen worden in riolering of oppervlaktewater, zijn verboden, tenzij het Agentschap hiervoor een vergunning verleent met toepassing van artikel 18.</w:t>
            </w:r>
          </w:p>
          <w:p>
            <w:pPr>
              <w:spacing w:before="60" w:after="60"/>
              <w:ind w:left="45"/>
              <w:jc w:val="left"/>
            </w:pPr>
            <w:r>
              <w:rPr>
                <w:rFonts w:ascii="Arial" w:hAnsi="Arial"/>
                <w:b w:val="false"/>
                <w:i w:val="false"/>
                <w:color w:val="333333"/>
                <w:sz w:val="18"/>
              </w:rPr>
              <w:t>Indien de verwerkingswijze voor deze vloeibare radioactieve afvalstoffen identiek is aan die van vaste radioactieve afvalstoffen, en indien het gaat om hoeveelheden van minder dan één ton per jaar, kunnen de vrijgaveniveaus vastgesteld in bijlage IB gebruikt worden en is een vergunning met toepassing van artikel 18 niet vereist. In dat geval zijn de bepalingen van artikel 35.2, tweede lid, 35.3 en 35.5 van toepassing op deze vloeibare radioactieve afvalstoffen.</w:t>
            </w:r>
          </w:p>
          <w:p>
            <w:pPr>
              <w:spacing w:before="60" w:after="60"/>
              <w:ind w:left="45"/>
              <w:jc w:val="left"/>
            </w:pPr>
            <w:r>
              <w:rPr>
                <w:rFonts w:ascii="Arial" w:hAnsi="Arial"/>
                <w:b w:val="false"/>
                <w:i w:val="false"/>
                <w:color w:val="333333"/>
                <w:sz w:val="18"/>
              </w:rPr>
              <w:t>Indien het gaat om radioactieve stoffen met een halveringstijd van minder dan zes maanden, is de beperking van één ton per jaar niet van toepassing.</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34 Récolte, traitement et élimination des déchets liquides</w:t>
            </w:r>
          </w:p>
          <w:p>
            <w:pPr>
              <w:spacing w:before="0" w:after="0"/>
              <w:ind w:left="45"/>
              <w:jc w:val="left"/>
            </w:pPr>
          </w:p>
          <w:p>
            <w:pPr>
              <w:spacing w:before="0" w:after="0"/>
              <w:ind w:left="45"/>
              <w:jc w:val="left"/>
            </w:pPr>
            <w:r>
              <w:rPr>
                <w:rFonts w:ascii="Arial" w:hAnsi="Arial"/>
                <w:b w:val="false"/>
                <w:i w:val="false"/>
                <w:color w:val="333333"/>
                <w:sz w:val="18"/>
              </w:rPr>
              <w:t xml:space="preserve">34.1 </w:t>
            </w:r>
          </w:p>
          <w:p>
            <w:pPr>
              <w:spacing w:before="60" w:after="60"/>
              <w:ind w:left="45"/>
              <w:jc w:val="left"/>
            </w:pPr>
            <w:r>
              <w:rPr>
                <w:rFonts w:ascii="Arial" w:hAnsi="Arial"/>
                <w:b w:val="false"/>
                <w:i w:val="false"/>
                <w:color w:val="333333"/>
                <w:sz w:val="18"/>
              </w:rPr>
              <w:t>Le rejet de déchets radioactifs liquides dans le sol est interdit.</w:t>
            </w:r>
          </w:p>
          <w:p>
            <w:pPr>
              <w:spacing w:before="0" w:after="0"/>
              <w:ind w:left="45"/>
              <w:jc w:val="left"/>
            </w:pPr>
          </w:p>
          <w:p>
            <w:pPr>
              <w:spacing w:before="0" w:after="0"/>
              <w:ind w:left="45"/>
              <w:jc w:val="left"/>
            </w:pPr>
            <w:r>
              <w:rPr>
                <w:rFonts w:ascii="Arial" w:hAnsi="Arial"/>
                <w:b w:val="false"/>
                <w:i w:val="false"/>
                <w:color w:val="333333"/>
                <w:sz w:val="18"/>
              </w:rPr>
              <w:t xml:space="preserve">34.2 </w:t>
            </w:r>
          </w:p>
          <w:p>
            <w:pPr>
              <w:spacing w:before="60" w:after="60"/>
              <w:ind w:left="45"/>
              <w:jc w:val="left"/>
            </w:pPr>
            <w:r>
              <w:rPr>
                <w:rFonts w:ascii="Arial" w:hAnsi="Arial"/>
                <w:b w:val="false"/>
                <w:i w:val="false"/>
                <w:color w:val="333333"/>
                <w:sz w:val="18"/>
              </w:rPr>
              <w:t>Le rejet des déchets radioactifs liquides dans les eaux de surface ou les égouts est interdit lorsque leur concentration en radionucléides, exprimée en Bq/l, dépasse le millième de la limite d'incorporation annuelle par ingestion pour une personne adulte du public, calculé conformément aux dispositions de l'Annexe III, point D. Les valeurs sont données au tableau H1 de la même annexe.</w:t>
            </w:r>
          </w:p>
          <w:p>
            <w:pPr>
              <w:spacing w:before="60" w:after="60"/>
              <w:ind w:left="45"/>
              <w:jc w:val="left"/>
            </w:pPr>
            <w:r>
              <w:rPr>
                <w:rFonts w:ascii="Arial" w:hAnsi="Arial"/>
                <w:b w:val="false"/>
                <w:i w:val="false"/>
                <w:color w:val="333333"/>
                <w:sz w:val="18"/>
              </w:rPr>
              <w:t>Les autorisations délivrées aux établissements de classe I et II, conformément aux dispositions du présent règlement, peuvent déroger à cette interdiction. Dans ce cas, elles fixent soit les concentrations maxima admissibles instantanée et moyenne des nucléides radioactifs susceptibles d'être contenus dans les déchets, soit l'activité totale qui peut être rejetée en une période de temps déterminée, soit les deux simultanément.</w:t>
            </w:r>
          </w:p>
          <w:p>
            <w:pPr>
              <w:spacing w:before="0" w:after="0"/>
              <w:ind w:left="45"/>
              <w:jc w:val="left"/>
            </w:pPr>
          </w:p>
          <w:p>
            <w:pPr>
              <w:spacing w:before="0" w:after="0"/>
              <w:ind w:left="45"/>
              <w:jc w:val="left"/>
            </w:pPr>
            <w:r>
              <w:rPr>
                <w:rFonts w:ascii="Arial" w:hAnsi="Arial"/>
                <w:b w:val="false"/>
                <w:i w:val="false"/>
                <w:color w:val="333333"/>
                <w:sz w:val="18"/>
              </w:rPr>
              <w:t xml:space="preserve">34.3 </w:t>
            </w:r>
          </w:p>
          <w:p>
            <w:pPr>
              <w:spacing w:before="60" w:after="60"/>
              <w:ind w:left="45"/>
              <w:jc w:val="left"/>
            </w:pPr>
            <w:r>
              <w:rPr>
                <w:rFonts w:ascii="Arial" w:hAnsi="Arial"/>
                <w:b w:val="false"/>
                <w:i w:val="false"/>
                <w:color w:val="333333"/>
                <w:sz w:val="18"/>
              </w:rPr>
              <w:t>Les déchets liquides dont la concentration en nucléides radioactifs dépasse les limites déterminées à l'article 34.2 ou les conditions fixées dans les autorisations délivrées et qui ne peuvent de ce fait être évacués, doivent être stockés dans des récipients étanches assurant une protection suffisante, en vue de leur traitement ou en vue de leur élimination éventuelle après réduction de l'activité jusqu'aux limites fixées à l'article 34.2 par décroissance ou après dilution; ce dernier procédé ne peut être utilisé que si l'autorisation le permet explicitement. Dans tous les cas, les récipients contenant des déchets radioactifs liquides doivent être stockés dans un système capable de récolter les fuites éventuelles.</w:t>
            </w:r>
          </w:p>
          <w:p>
            <w:pPr>
              <w:spacing w:before="0" w:after="0"/>
              <w:ind w:left="45"/>
              <w:jc w:val="left"/>
            </w:pPr>
          </w:p>
          <w:p>
            <w:pPr>
              <w:spacing w:before="0" w:after="0"/>
              <w:ind w:left="45"/>
              <w:jc w:val="left"/>
            </w:pPr>
            <w:r>
              <w:rPr>
                <w:rFonts w:ascii="Arial" w:hAnsi="Arial"/>
                <w:b w:val="false"/>
                <w:i w:val="false"/>
                <w:color w:val="333333"/>
                <w:sz w:val="18"/>
              </w:rPr>
              <w:t xml:space="preserve">34.4 </w:t>
            </w:r>
          </w:p>
          <w:p>
            <w:pPr>
              <w:spacing w:before="60" w:after="60"/>
              <w:ind w:left="45"/>
              <w:jc w:val="left"/>
            </w:pPr>
            <w:r>
              <w:rPr>
                <w:rFonts w:ascii="Arial" w:hAnsi="Arial"/>
                <w:b w:val="false"/>
                <w:i w:val="false"/>
                <w:color w:val="333333"/>
                <w:sz w:val="18"/>
              </w:rPr>
              <w:t>Pendant toute la durée [de l'entreposage] et du traitement, les mesures indispensables sont prises pour éviter tout risque de dispersion de substances radioactives sous quelque forme que ce soit et pour prévenir toute fermentation incontrôlée des liquides radioactifs. Le traitement est approprié à la nature, à la toxicité et à l'activité des nucléides radioactifs présents. Les boues ou précipités radioactifs obtenus après traitement sont après séchage éventuel, traités comme des déchets solides.</w:t>
            </w:r>
          </w:p>
          <w:p>
            <w:pPr>
              <w:spacing w:before="0" w:after="0"/>
              <w:ind w:left="45"/>
              <w:jc w:val="left"/>
            </w:pPr>
          </w:p>
          <w:p>
            <w:pPr>
              <w:spacing w:before="0" w:after="0"/>
              <w:ind w:left="45"/>
              <w:jc w:val="left"/>
            </w:pPr>
            <w:r>
              <w:rPr>
                <w:rFonts w:ascii="Arial" w:hAnsi="Arial"/>
                <w:b w:val="false"/>
                <w:i w:val="false"/>
                <w:color w:val="333333"/>
                <w:sz w:val="18"/>
              </w:rPr>
              <w:t xml:space="preserve">34.5 </w:t>
            </w:r>
          </w:p>
          <w:p>
            <w:pPr>
              <w:spacing w:before="60" w:after="60"/>
              <w:ind w:left="45"/>
              <w:jc w:val="left"/>
            </w:pPr>
            <w:r>
              <w:rPr>
                <w:rFonts w:ascii="Arial" w:hAnsi="Arial"/>
                <w:b w:val="false"/>
                <w:i w:val="false"/>
                <w:color w:val="333333"/>
                <w:sz w:val="18"/>
              </w:rPr>
              <w:t xml:space="preserve">L'activité totale des déchets radioactifs liquides rejetés sera maintenue à un niveau aussi bas qu'il est raisonnablement possible. L'Agence peut imposer, par directive générale publiée au </w:t>
            </w:r>
            <w:r>
              <w:rPr>
                <w:rFonts w:ascii="Arial" w:hAnsi="Arial"/>
                <w:b w:val="false"/>
                <w:i/>
                <w:color w:val="333333"/>
                <w:sz w:val="18"/>
              </w:rPr>
              <w:t>Moniteur belge</w:t>
            </w:r>
            <w:r>
              <w:rPr>
                <w:rFonts w:ascii="Arial" w:hAnsi="Arial"/>
                <w:b w:val="false"/>
                <w:i w:val="false"/>
                <w:color w:val="333333"/>
                <w:sz w:val="18"/>
              </w:rPr>
              <w:t>, des maxima à l'activité totale des déchets radioactifs liquides qui peut être rejetée par un établissement en une période de temps déterminée.</w:t>
            </w:r>
          </w:p>
          <w:p>
            <w:pPr>
              <w:spacing w:before="0" w:after="0"/>
              <w:ind w:left="45"/>
              <w:jc w:val="left"/>
            </w:pPr>
          </w:p>
          <w:p>
            <w:pPr>
              <w:spacing w:before="0" w:after="0"/>
              <w:ind w:left="45"/>
              <w:jc w:val="left"/>
            </w:pPr>
            <w:r>
              <w:rPr>
                <w:rFonts w:ascii="Arial" w:hAnsi="Arial"/>
                <w:b w:val="false"/>
                <w:i w:val="false"/>
                <w:color w:val="333333"/>
                <w:sz w:val="18"/>
              </w:rPr>
              <w:t xml:space="preserve">[34.6 </w:t>
            </w:r>
          </w:p>
          <w:p>
            <w:pPr>
              <w:spacing w:before="60" w:after="60"/>
              <w:ind w:left="45"/>
              <w:jc w:val="left"/>
            </w:pPr>
            <w:r>
              <w:rPr>
                <w:rFonts w:ascii="Arial" w:hAnsi="Arial"/>
                <w:b w:val="false"/>
                <w:i w:val="false"/>
                <w:color w:val="333333"/>
                <w:sz w:val="18"/>
              </w:rPr>
              <w:t>L'élimination, le départ en vue de recyclage ou de réutilisation de déchets radioactifs liquides provenant d'un établissement de classe I, II ou III, qui ne peuvent être rejetés dans les égouts ou les eaux de surface, sont interdits sauf si l'Agence l'autorise en application de l'article 18.</w:t>
            </w:r>
          </w:p>
          <w:p>
            <w:pPr>
              <w:spacing w:before="60" w:after="60"/>
              <w:ind w:left="45"/>
              <w:jc w:val="left"/>
            </w:pPr>
            <w:r>
              <w:rPr>
                <w:rFonts w:ascii="Arial" w:hAnsi="Arial"/>
                <w:b w:val="false"/>
                <w:i w:val="false"/>
                <w:color w:val="333333"/>
                <w:sz w:val="18"/>
              </w:rPr>
              <w:t>Si les méthodes de traitement de ces déchets radioactifs liquides sont identiques à celles de déchets radioactifs solides, et s'il s'agit de quantités inférieures à une tonne par an, les valeurs fixées à l'annexe IB peuvent être appliquées et une autorisation en application de l'article 18 n'est pas nécessaire. Dans ce cas, les dispositions des articles 35.2, alinéa 2, 35.3 et 35.5 s'appliquent à ces déchets radioactifs liquides.</w:t>
            </w:r>
          </w:p>
          <w:p>
            <w:pPr>
              <w:spacing w:before="60" w:after="60"/>
              <w:ind w:left="45"/>
              <w:jc w:val="left"/>
            </w:pPr>
            <w:r>
              <w:rPr>
                <w:rFonts w:ascii="Arial" w:hAnsi="Arial"/>
                <w:b w:val="false"/>
                <w:i w:val="false"/>
                <w:color w:val="333333"/>
                <w:sz w:val="18"/>
              </w:rPr>
              <w:t>S'il s'agit de substances radioactives de période inférieure à six mois, la limitation à une tonne par an ne s'applique pas.</w:t>
            </w:r>
          </w:p>
          <w:p>
            <w:pPr>
              <w:spacing w:before="0" w:after="0"/>
              <w:ind w:left="45"/>
              <w:jc w:val="left"/>
            </w:pP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