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Veiligheidsbeleid</w:t>
            </w:r>
          </w:p>
          <w:p>
            <w:pPr>
              <w:spacing w:before="60" w:after="60"/>
              <w:ind w:left="45"/>
              <w:jc w:val="left"/>
            </w:pPr>
            <w:r>
              <w:rPr>
                <w:rFonts w:ascii="Arial" w:hAnsi="Arial"/>
                <w:b w:val="false"/>
                <w:i w:val="false"/>
                <w:color w:val="333333"/>
                <w:sz w:val="18"/>
              </w:rPr>
              <w:t>Een beleid inzake nucleaire veiligheid moet door de exploitant op schrift worden gesteld. De beleidsverklaring betreffende de veiligheid moet aan de veiligheidsautoriteit worden voorgelegd en ter beschikking worden gesteld van de bevolking.</w:t>
            </w:r>
          </w:p>
          <w:p>
            <w:pPr>
              <w:spacing w:before="60" w:after="60"/>
              <w:ind w:left="45"/>
              <w:jc w:val="left"/>
            </w:pPr>
            <w:r>
              <w:rPr>
                <w:rFonts w:ascii="Arial" w:hAnsi="Arial"/>
                <w:b w:val="false"/>
                <w:i w:val="false"/>
                <w:color w:val="333333"/>
                <w:sz w:val="18"/>
              </w:rPr>
              <w:t>In dit beleid moet prioritair belang gehecht worden aan de nucleaire veiligheid van de activiteiten in de inrichting.</w:t>
            </w:r>
          </w:p>
          <w:p>
            <w:pPr>
              <w:spacing w:before="60" w:after="60"/>
              <w:ind w:left="45"/>
              <w:jc w:val="left"/>
            </w:pPr>
            <w:r>
              <w:rPr>
                <w:rFonts w:ascii="Arial" w:hAnsi="Arial"/>
                <w:b w:val="false"/>
                <w:i w:val="false"/>
                <w:color w:val="333333"/>
                <w:sz w:val="18"/>
              </w:rPr>
              <w:t>Het veiligheidsbeleid omvat een engagement om de nucleaire veiligheid continu te verbeteren.</w:t>
            </w:r>
          </w:p>
          <w:p>
            <w:pPr>
              <w:spacing w:before="60" w:after="60"/>
              <w:ind w:left="45"/>
              <w:jc w:val="left"/>
            </w:pPr>
            <w:r>
              <w:rPr>
                <w:rFonts w:ascii="Arial" w:hAnsi="Arial"/>
                <w:b w:val="false"/>
                <w:i w:val="false"/>
                <w:color w:val="333333"/>
                <w:sz w:val="18"/>
              </w:rPr>
              <w:t>Het veiligheidsbeleid impliceert de opstelling van duidelijk geformuleerde doelstellingen en mikpunten waardoor de vorderingen kunnen worden opgevolgd.</w:t>
            </w:r>
          </w:p>
          <w:p>
            <w:pPr>
              <w:spacing w:before="60" w:after="60"/>
              <w:ind w:left="45"/>
              <w:jc w:val="left"/>
            </w:pPr>
            <w:r>
              <w:rPr>
                <w:rFonts w:ascii="Arial" w:hAnsi="Arial"/>
                <w:b w:val="false"/>
                <w:i w:val="false"/>
                <w:color w:val="333333"/>
                <w:sz w:val="18"/>
              </w:rPr>
              <w:t>Het veiligheidsbeleid vereist dat er maatregelen worden genomen voor de uitvoering ervan en voor het toezicht op het niveau van de nucleaire veiligheid.</w:t>
            </w:r>
          </w:p>
          <w:p>
            <w:pPr>
              <w:spacing w:before="0" w:after="0"/>
              <w:ind w:left="45"/>
              <w:jc w:val="left"/>
            </w:pPr>
            <w:r>
              <w:rPr>
                <w:rFonts w:ascii="Arial" w:hAnsi="Arial"/>
                <w:b w:val="false"/>
                <w:i w:val="false"/>
                <w:color w:val="333333"/>
                <w:sz w:val="18"/>
              </w:rPr>
              <w:t>[Het veiligheidsbeleid vereist dat alle activiteiten die verband houden met de nucleaire veiligheid continu worden verbeterd door: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alle nieuwe informatie te identificeren en te analyseren binnen een termijn die in verhouding staat tot het belang ervan voor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installatie en de demonstratie van haar veiligheid regelmatig opnieuw te evalueren, rekening houdend met de ervarings-feedback over de uitbating zoals bedoeld in artikel 11, het onderzoek inzake nucleaire veiligheid, de technologische en wetenschappelijke vooruitgang, alsook de evolutie van de normen en praktijken;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tijdig over te gaan tot de implementatie van de redelijkerwijs haalbare veiligheidsverbeteringen die zijn geïdentificeerd.</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elementen van het veiligheidsbeleid, evenals de vereisten en verwachtingen van de exploitant terzake en de richtlijnen voor de uitvoering ervan worden duidelijk meegedeeld zodat het ganse personeel belast met belangrijke taken op het vlak van de nucleaire veiligheid, met inbegrip van de onderaannemers, ze kunnen begrijpen en uitvoeren.</w:t>
            </w:r>
          </w:p>
          <w:p>
            <w:pPr>
              <w:spacing w:before="60" w:after="60"/>
              <w:ind w:left="45"/>
              <w:jc w:val="left"/>
            </w:pPr>
            <w:r>
              <w:rPr>
                <w:rFonts w:ascii="Arial" w:hAnsi="Arial"/>
                <w:b w:val="false"/>
                <w:i w:val="false"/>
                <w:color w:val="333333"/>
                <w:sz w:val="18"/>
              </w:rPr>
              <w:t>Het niveau van de implementatie van het veiligheidsbeleid evenals het veiligheidsbeleid zelf worden door de exploitant regelmatig en voldoende frequent geëvalueerd en herzien, met een periodiciteit die kleiner is dan deze van de periodieke veiligheidsherzieningen.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Politique de Sûreté</w:t>
            </w:r>
          </w:p>
          <w:p>
            <w:pPr>
              <w:spacing w:before="60" w:after="60"/>
              <w:ind w:left="45"/>
              <w:jc w:val="left"/>
            </w:pPr>
            <w:r>
              <w:rPr>
                <w:rFonts w:ascii="Arial" w:hAnsi="Arial"/>
                <w:b w:val="false"/>
                <w:i w:val="false"/>
                <w:color w:val="333333"/>
                <w:sz w:val="18"/>
              </w:rPr>
              <w:t>Une politique en matière de sûreté nucléaire doit être formulée par l'exploitant et consignée par écrit. La déclaration de politique de sûreté doit être présentée à l'autorité de sûreté, et mise à disposition de la population.</w:t>
            </w:r>
          </w:p>
          <w:p>
            <w:pPr>
              <w:spacing w:before="60" w:after="60"/>
              <w:ind w:left="45"/>
              <w:jc w:val="left"/>
            </w:pPr>
            <w:r>
              <w:rPr>
                <w:rFonts w:ascii="Arial" w:hAnsi="Arial"/>
                <w:b w:val="false"/>
                <w:i w:val="false"/>
                <w:color w:val="333333"/>
                <w:sz w:val="18"/>
              </w:rPr>
              <w:t>Cette politique doit accorder une importance première à la sûreté nucléaire dans les activités de l'établissement.</w:t>
            </w:r>
          </w:p>
          <w:p>
            <w:pPr>
              <w:spacing w:before="60" w:after="60"/>
              <w:ind w:left="45"/>
              <w:jc w:val="left"/>
            </w:pPr>
            <w:r>
              <w:rPr>
                <w:rFonts w:ascii="Arial" w:hAnsi="Arial"/>
                <w:b w:val="false"/>
                <w:i w:val="false"/>
                <w:color w:val="333333"/>
                <w:sz w:val="18"/>
              </w:rPr>
              <w:t>La politique de sûreté inclut un engagement à améliorer la sûreté nucléaire de manière continue.</w:t>
            </w:r>
          </w:p>
          <w:p>
            <w:pPr>
              <w:spacing w:before="60" w:after="60"/>
              <w:ind w:left="45"/>
              <w:jc w:val="left"/>
            </w:pPr>
            <w:r>
              <w:rPr>
                <w:rFonts w:ascii="Arial" w:hAnsi="Arial"/>
                <w:b w:val="false"/>
                <w:i w:val="false"/>
                <w:color w:val="333333"/>
                <w:sz w:val="18"/>
              </w:rPr>
              <w:t>La politique de sûreté demande d'établir des objectifs et cibles clairement formulés, par rapport auxquels il sera possible de suivre les progrès.</w:t>
            </w:r>
          </w:p>
          <w:p>
            <w:pPr>
              <w:spacing w:before="60" w:after="60"/>
              <w:ind w:left="45"/>
              <w:jc w:val="left"/>
            </w:pPr>
            <w:r>
              <w:rPr>
                <w:rFonts w:ascii="Arial" w:hAnsi="Arial"/>
                <w:b w:val="false"/>
                <w:i w:val="false"/>
                <w:color w:val="333333"/>
                <w:sz w:val="18"/>
              </w:rPr>
              <w:t>La politique de sûreté demande des dispositions de mise en œuvre et des dispositions de surveillance du niveau de la sûreté nucléaire.</w:t>
            </w:r>
          </w:p>
          <w:p>
            <w:pPr>
              <w:spacing w:before="0" w:after="0"/>
              <w:ind w:left="45"/>
              <w:jc w:val="left"/>
            </w:pPr>
            <w:r>
              <w:rPr>
                <w:rFonts w:ascii="Arial" w:hAnsi="Arial"/>
                <w:b w:val="false"/>
                <w:i w:val="false"/>
                <w:color w:val="333333"/>
                <w:sz w:val="18"/>
              </w:rPr>
              <w:t>[La politique de sûreté requiert l'amélioration continue de toutes les activités liées à la sûreté nucléaire, au travers 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et l'analyse de toute nouvelle information, dans un délai en rapport avec son importance pour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réévaluation régulière de la sûreté de l'installation et de sa démonstration de sûreté, tenant compte du retour d'expérience d'exploitation tel que visé à l'article 11, de la recherche en sûreté nucléaire, des avancées technologiques et scientifiques ainsi que de l'évolution des normes et pratiques;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l'implémentation, en temps utile, des améliorations de sûreté raisonnablement faisables qui ont été identifiées.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éléments de la politique de sûreté ainsi que les exigences et attentes de l'exploitant en la matière, et les directives de mise en œuvre de celle-ci sont communiqués de manière claire afin que tout le personnel du site en charge de tâches importantes pour la sûreté nucléaire, y compris les sous-traitants, les comprennent et les mettent en œuvre.</w:t>
            </w:r>
          </w:p>
          <w:p>
            <w:pPr>
              <w:spacing w:before="60" w:after="60"/>
              <w:ind w:left="45"/>
              <w:jc w:val="left"/>
            </w:pPr>
            <w:r>
              <w:rPr>
                <w:rFonts w:ascii="Arial" w:hAnsi="Arial"/>
                <w:b w:val="false"/>
                <w:i w:val="false"/>
                <w:color w:val="333333"/>
                <w:sz w:val="18"/>
              </w:rPr>
              <w:t>Le niveau d'implémentation de la politique de sûreté ainsi que la politique de sûreté elle-même sont évalués et revus par l'exploitant de manière régulière et suffisamment fréquente, avec une périodicité plus courte que celle des révisions périodiques de sûreté.</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