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33 Champ d'application</w:t>
            </w:r>
          </w:p>
          <w:p>
            <w:pPr>
              <w:spacing w:before="60" w:after="60"/>
              <w:ind w:left="45"/>
              <w:jc w:val="left"/>
            </w:pPr>
            <w:r>
              <w:rPr>
                <w:rFonts w:ascii="Arial" w:hAnsi="Arial"/>
                <w:b w:val="false"/>
                <w:i w:val="false"/>
                <w:color w:val="333333"/>
                <w:sz w:val="18"/>
              </w:rPr>
              <w:t>[Les déchets radioactifs sont soumis aux dispositions de la présente section.</w:t>
            </w:r>
          </w:p>
          <w:p>
            <w:pPr>
              <w:spacing w:before="60" w:after="60"/>
              <w:ind w:left="45"/>
              <w:jc w:val="left"/>
            </w:pPr>
            <w:r>
              <w:rPr>
                <w:rFonts w:ascii="Arial" w:hAnsi="Arial"/>
                <w:b w:val="false"/>
                <w:i w:val="false"/>
                <w:color w:val="333333"/>
                <w:sz w:val="18"/>
              </w:rPr>
              <w:t>Les substances radioactives provenant d'une intervention dans le cadre [de l'article 72/1 ou d'une situation d'urgence] ne sont pas soumises aux dispositions des articles 33 à 37, sauf décision contraire de l'Agence.]</w:t>
            </w:r>
          </w:p>
          <w:p>
            <w:pPr>
              <w:spacing w:before="60" w:after="60"/>
              <w:ind w:left="45"/>
              <w:jc w:val="left"/>
            </w:pPr>
            <w:r>
              <w:rPr>
                <w:rFonts w:ascii="Arial" w:hAnsi="Arial"/>
                <w:b w:val="false"/>
                <w:i w:val="false"/>
                <w:color w:val="333333"/>
                <w:sz w:val="18"/>
              </w:rPr>
              <w:t>Les déchets radioactifs des établissements devant faire l'objet d'une autorisation en vertu du chapitre II sont soumis aux dispositions de la présente section. Les matières radioactives non récoltées provenant de patients à qui des substances radioactives ont été administrées à des fins médicales et qui ont quitté, sans préjudice des dispositions de l'article 54.8.2.d), l'établissement autorisé en vertu du chapitre II, ne sont pas soumises aux dispositions des articles 33 à 37.</w:t>
            </w:r>
          </w:p>
          <w:p>
            <w:pPr>
              <w:spacing w:before="60" w:after="60"/>
              <w:ind w:left="45"/>
              <w:jc w:val="left"/>
            </w:pPr>
            <w:r>
              <w:rPr>
                <w:rFonts w:ascii="Arial" w:hAnsi="Arial"/>
                <w:b w:val="false"/>
                <w:i w:val="false"/>
                <w:color w:val="333333"/>
                <w:sz w:val="18"/>
              </w:rPr>
              <w:t>L'Agence peut fixer des obligations relatives aux conditions d'hospitalisation, de sortie et de traitement ambulatoire des patients à qui des substances radioactives ont été administrées par voie métabolique à des fins médicales.</w:t>
            </w:r>
          </w:p>
          <w:p>
            <w:pPr>
              <w:spacing w:before="60" w:after="60"/>
              <w:ind w:left="45"/>
              <w:jc w:val="left"/>
            </w:pPr>
            <w:r>
              <w:rPr>
                <w:rFonts w:ascii="Arial" w:hAnsi="Arial"/>
                <w:b w:val="false"/>
                <w:i w:val="false"/>
                <w:color w:val="333333"/>
                <w:sz w:val="18"/>
              </w:rPr>
              <w:t>Tout producteur, même potentiel, de déchets radioactifs doit s'inscrire auprès de l'ONDRAF et conclure, le cas échéant, avec cet organisme une convention relative à la gestion de l'ensemble des déchets radioactifs.</w:t>
            </w:r>
          </w:p>
          <w:p>
            <w:pPr>
              <w:spacing w:before="60" w:after="60"/>
              <w:ind w:left="45"/>
              <w:jc w:val="left"/>
            </w:pPr>
            <w:r>
              <w:rPr>
                <w:rFonts w:ascii="Arial" w:hAnsi="Arial"/>
                <w:b w:val="false"/>
                <w:i w:val="false"/>
                <w:color w:val="333333"/>
                <w:sz w:val="18"/>
              </w:rPr>
              <w:t>L'Agence conclut avec l'ONDRAF un protocole ayant pour objectif la consultation mutuelle et l'échange d'information sur les aspects de la gestion des déchets radioactifs qui peuvent affecter l'exercice des compétences des deux institutions.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33 Toepassingsgebied</w:t>
            </w:r>
          </w:p>
          <w:p>
            <w:pPr>
              <w:spacing w:before="60" w:after="60"/>
              <w:ind w:left="45"/>
              <w:jc w:val="left"/>
            </w:pPr>
            <w:r>
              <w:rPr>
                <w:rFonts w:ascii="Arial" w:hAnsi="Arial"/>
                <w:b w:val="false"/>
                <w:i w:val="false"/>
                <w:color w:val="333333"/>
                <w:sz w:val="18"/>
              </w:rPr>
              <w:t>[De radioactieve afvalstoffen worden onderworpen aan de bepalingen van deze afdeling.</w:t>
            </w:r>
          </w:p>
          <w:p>
            <w:pPr>
              <w:spacing w:before="60" w:after="60"/>
              <w:ind w:left="45"/>
              <w:jc w:val="left"/>
            </w:pPr>
            <w:r>
              <w:rPr>
                <w:rFonts w:ascii="Arial" w:hAnsi="Arial"/>
                <w:b w:val="false"/>
                <w:i w:val="false"/>
                <w:color w:val="333333"/>
                <w:sz w:val="18"/>
              </w:rPr>
              <w:t>De radioactieve stoffen afkomstig van een interventie in het kader [van artikel 72/1 of van een noodsituatie] worden niet onderworpen aan de bepalingen van de artikelen 33 tot 37, behoudens andersluidende beslissing van het Agentschap.]</w:t>
            </w:r>
          </w:p>
          <w:p>
            <w:pPr>
              <w:spacing w:before="60" w:after="60"/>
              <w:ind w:left="45"/>
              <w:jc w:val="left"/>
            </w:pPr>
            <w:r>
              <w:rPr>
                <w:rFonts w:ascii="Arial" w:hAnsi="Arial"/>
                <w:b w:val="false"/>
                <w:i w:val="false"/>
                <w:color w:val="333333"/>
                <w:sz w:val="18"/>
              </w:rPr>
              <w:t>De radioactieve afvalstoffen van de inrichtingen die het voorwerp uitmaken van een vergunning krachtens hoofdstuk II, wordt onderworpen aan de bepalingen van deze afdeling. De radioactieve stoffen die niet werden verzameld en die afkomstig zijn van patiënten waaraan radioactieve stoffen werden toegediend voor medische doeleinden en die, onverminderd de bepalingen van artikel 54.8.2.d), de krachtens hoofdstuk II vergunde inrichting hebben verlaten, worden niet onderworpen aan de bepalingen van de artikelen 33 tot 37.</w:t>
            </w:r>
          </w:p>
          <w:p>
            <w:pPr>
              <w:spacing w:before="60" w:after="60"/>
              <w:ind w:left="45"/>
              <w:jc w:val="left"/>
            </w:pPr>
            <w:r>
              <w:rPr>
                <w:rFonts w:ascii="Arial" w:hAnsi="Arial"/>
                <w:b w:val="false"/>
                <w:i w:val="false"/>
                <w:color w:val="333333"/>
                <w:sz w:val="18"/>
              </w:rPr>
              <w:t>Het Agentschap kan bepaalde verplichtingen vaststellen met betrekking tot de voorwaarden inzake de hospitalisatie, het ontslag uit het ziekenhuis en de ambulante verzorging van patiënten waaraan, voor geneeskundige doeleinden, via het metabolisme, radioactieve stoffen werden toegediend.</w:t>
            </w:r>
          </w:p>
          <w:p>
            <w:pPr>
              <w:spacing w:before="60" w:after="60"/>
              <w:ind w:left="45"/>
              <w:jc w:val="left"/>
            </w:pPr>
            <w:r>
              <w:rPr>
                <w:rFonts w:ascii="Arial" w:hAnsi="Arial"/>
                <w:b w:val="false"/>
                <w:i w:val="false"/>
                <w:color w:val="333333"/>
                <w:sz w:val="18"/>
              </w:rPr>
              <w:t>Elke, zelfs potentiële, producent van radioactieve afvalstoffen moet zich inschrijven bij NIRAS en moet, in voorkomend geval, met deze instelling een overeenkomst afsluiten met betrekking tot het beheer van het geheel van de radioactieve afvalstoffen.</w:t>
            </w:r>
          </w:p>
          <w:p>
            <w:pPr>
              <w:spacing w:before="60" w:after="60"/>
              <w:ind w:left="45"/>
              <w:jc w:val="left"/>
            </w:pPr>
            <w:r>
              <w:rPr>
                <w:rFonts w:ascii="Arial" w:hAnsi="Arial"/>
                <w:b w:val="false"/>
                <w:i w:val="false"/>
                <w:color w:val="333333"/>
                <w:sz w:val="18"/>
              </w:rPr>
              <w:t>Het Agentschap sluit met NIRAS een overeenkomst met het oog op de wederzijdse uitwisseling van informatie en raadpleging betreffende de aspecten van het beheer van radioactieve afvalstoffen die de uitoefening van de bevoegdheden van beide instellingen kunnen beïnvloeden.</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