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13 Inhoud en bijwerking van het veiligheidsrapport</w:t>
            </w:r>
          </w:p>
          <w:p>
            <w:pPr>
              <w:spacing w:before="0" w:after="0"/>
              <w:ind w:left="45"/>
              <w:jc w:val="left"/>
            </w:pPr>
          </w:p>
          <w:p>
            <w:pPr>
              <w:spacing w:before="0" w:after="0"/>
              <w:ind w:left="45"/>
              <w:jc w:val="left"/>
            </w:pPr>
            <w:r>
              <w:rPr>
                <w:rFonts w:ascii="Arial" w:hAnsi="Arial"/>
                <w:b w:val="false"/>
                <w:i w:val="false"/>
                <w:color w:val="333333"/>
                <w:sz w:val="18"/>
              </w:rPr>
              <w:t xml:space="preserve">13.1 Doelstellingen van het veiligheidsrapport </w:t>
            </w:r>
          </w:p>
          <w:p>
            <w:pPr>
              <w:spacing w:before="60" w:after="60"/>
              <w:ind w:left="45"/>
              <w:jc w:val="left"/>
            </w:pPr>
            <w:r>
              <w:rPr>
                <w:rFonts w:ascii="Arial" w:hAnsi="Arial"/>
                <w:b w:val="false"/>
                <w:i w:val="false"/>
                <w:color w:val="333333"/>
                <w:sz w:val="18"/>
              </w:rPr>
              <w:t>De exploitant stelt een veiligheidsrapport op in het kader van de in het algemeen reglement beschreven vergunningsprocedure. Dit rapport is een belangrijk onderdeel van de basis voor de vergunning van de installatie en de grondslag voor de veilige uitbating ervan.</w:t>
            </w:r>
          </w:p>
          <w:p>
            <w:pPr>
              <w:spacing w:before="60" w:after="60"/>
              <w:ind w:left="45"/>
              <w:jc w:val="left"/>
            </w:pPr>
            <w:r>
              <w:rPr>
                <w:rFonts w:ascii="Arial" w:hAnsi="Arial"/>
                <w:b w:val="false"/>
                <w:i w:val="false"/>
                <w:color w:val="333333"/>
                <w:sz w:val="18"/>
              </w:rPr>
              <w:t>Het veiligheidsrapport moet voldoende nauwkeurige informatie bevatten over de installatie en haar bedrijfsomstandigheden, zodat de veiligheidsautoriteit de nucleaire veiligheid van de installatie op basis daarvan kan evalueren.</w:t>
            </w:r>
          </w:p>
          <w:p>
            <w:pPr>
              <w:spacing w:before="60" w:after="60"/>
              <w:ind w:left="45"/>
              <w:jc w:val="left"/>
            </w:pPr>
            <w:r>
              <w:rPr>
                <w:rFonts w:ascii="Arial" w:hAnsi="Arial"/>
                <w:b w:val="false"/>
                <w:i w:val="false"/>
                <w:color w:val="333333"/>
                <w:sz w:val="18"/>
              </w:rPr>
              <w:t>De exploitant garandeert dat de installatie, de activiteiten die er worden uitgevoerd, het materieel, de organisatie, de kwalificatie en de opleiding van het personeel, het kwaliteitsborgingprogramma en de veiligheidssystemen en -voorschriften conform het veiligheidsrapport zijn.</w:t>
            </w:r>
          </w:p>
          <w:p>
            <w:pPr>
              <w:spacing w:before="60" w:after="60"/>
              <w:ind w:left="45"/>
              <w:jc w:val="left"/>
            </w:pPr>
            <w:r>
              <w:rPr>
                <w:rFonts w:ascii="Arial" w:hAnsi="Arial"/>
                <w:b w:val="false"/>
                <w:i w:val="false"/>
                <w:color w:val="333333"/>
                <w:sz w:val="18"/>
              </w:rPr>
              <w:t>Het veiligheidsrapport moet ook dienst doen als basis voor de exploitant om de effecten van wijzigingen aan de installatie of aan de uitbatingspraktijk op de nucleaire veiligheid te evalueren.</w:t>
            </w:r>
          </w:p>
          <w:p>
            <w:pPr>
              <w:spacing w:before="0" w:after="0"/>
              <w:ind w:left="45"/>
              <w:jc w:val="left"/>
            </w:pPr>
          </w:p>
          <w:p>
            <w:pPr>
              <w:spacing w:before="0" w:after="0"/>
              <w:ind w:left="45"/>
              <w:jc w:val="left"/>
            </w:pPr>
            <w:r>
              <w:rPr>
                <w:rFonts w:ascii="Arial" w:hAnsi="Arial"/>
                <w:b w:val="false"/>
                <w:i w:val="false"/>
                <w:color w:val="333333"/>
                <w:sz w:val="18"/>
              </w:rPr>
              <w:t xml:space="preserve">13.2 Inhoud van het veiligheidsrapport </w:t>
            </w:r>
          </w:p>
          <w:p>
            <w:pPr>
              <w:spacing w:before="60" w:after="60"/>
              <w:ind w:left="45"/>
              <w:jc w:val="left"/>
            </w:pPr>
            <w:r>
              <w:rPr>
                <w:rFonts w:ascii="Arial" w:hAnsi="Arial"/>
                <w:b w:val="false"/>
                <w:i w:val="false"/>
                <w:color w:val="333333"/>
                <w:sz w:val="18"/>
              </w:rPr>
              <w:t>[Een technisch reglement van het Agentschap] kan de gedetailleerde inhoud van het veiligheidsrapport preciseren volgens het type van installatie.</w:t>
            </w:r>
          </w:p>
          <w:p>
            <w:pPr>
              <w:spacing w:before="0" w:after="0"/>
              <w:ind w:left="45"/>
              <w:jc w:val="left"/>
            </w:pPr>
          </w:p>
          <w:p>
            <w:pPr>
              <w:spacing w:before="0" w:after="0"/>
              <w:ind w:left="45"/>
              <w:jc w:val="left"/>
            </w:pPr>
            <w:r>
              <w:rPr>
                <w:rFonts w:ascii="Arial" w:hAnsi="Arial"/>
                <w:b w:val="false"/>
                <w:i w:val="false"/>
                <w:color w:val="333333"/>
                <w:sz w:val="18"/>
              </w:rPr>
              <w:t xml:space="preserve">13.3 Bijwerking van het veiligheidsrapport </w:t>
            </w:r>
          </w:p>
          <w:p>
            <w:pPr>
              <w:spacing w:before="60" w:after="60"/>
              <w:ind w:left="45"/>
              <w:jc w:val="left"/>
            </w:pPr>
            <w:r>
              <w:rPr>
                <w:rFonts w:ascii="Arial" w:hAnsi="Arial"/>
                <w:b w:val="false"/>
                <w:i w:val="false"/>
                <w:color w:val="333333"/>
                <w:sz w:val="18"/>
              </w:rPr>
              <w:t>De exploitant stelt een procedure op voor de bijwerking van het veiligheidsrapport. De verantwoordelijkheden voor de herziening van het veiligheidsrapport moeten duidelijk worden toegekend. De bijwerking van het veiligheidsrapport wordt goedgekeurd door de veiligheidsautoriteit.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13 Contenu et mise à jour du rapport de sûreté</w:t>
            </w:r>
          </w:p>
          <w:p>
            <w:pPr>
              <w:spacing w:before="0" w:after="0"/>
              <w:ind w:left="45"/>
              <w:jc w:val="left"/>
            </w:pPr>
          </w:p>
          <w:p>
            <w:pPr>
              <w:spacing w:before="0" w:after="0"/>
              <w:ind w:left="45"/>
              <w:jc w:val="left"/>
            </w:pPr>
            <w:r>
              <w:rPr>
                <w:rFonts w:ascii="Arial" w:hAnsi="Arial"/>
                <w:b w:val="false"/>
                <w:i w:val="false"/>
                <w:color w:val="333333"/>
                <w:sz w:val="18"/>
              </w:rPr>
              <w:t xml:space="preserve">13.1 Objectifs du rapport de sûreté </w:t>
            </w:r>
          </w:p>
          <w:p>
            <w:pPr>
              <w:spacing w:before="60" w:after="60"/>
              <w:ind w:left="45"/>
              <w:jc w:val="left"/>
            </w:pPr>
            <w:r>
              <w:rPr>
                <w:rFonts w:ascii="Arial" w:hAnsi="Arial"/>
                <w:b w:val="false"/>
                <w:i w:val="false"/>
                <w:color w:val="333333"/>
                <w:sz w:val="18"/>
              </w:rPr>
              <w:t>Un rapport de sûreté est élaboré par l'exploitant dans le cadre du processus d'autorisation décrit dans le Règlement général. Il forme une partie importante de la base de l'autorisation de l'installation nucléaire et le fondement de l'exploitation sûre de celle-ci.</w:t>
            </w:r>
          </w:p>
          <w:p>
            <w:pPr>
              <w:spacing w:before="60" w:after="60"/>
              <w:ind w:left="45"/>
              <w:jc w:val="left"/>
            </w:pPr>
            <w:r>
              <w:rPr>
                <w:rFonts w:ascii="Arial" w:hAnsi="Arial"/>
                <w:b w:val="false"/>
                <w:i w:val="false"/>
                <w:color w:val="333333"/>
                <w:sz w:val="18"/>
              </w:rPr>
              <w:t>Le rapport de sûreté doit contenir des informations suffisamment précises sur l'installation et ses conditions de fonctionnement de telle façon que l'autorité de sûreté soit en mesure d'évaluer la sûreté nucléaire de l'installation sur base de celui-ci.</w:t>
            </w:r>
          </w:p>
          <w:p>
            <w:pPr>
              <w:spacing w:before="60" w:after="60"/>
              <w:ind w:left="45"/>
              <w:jc w:val="left"/>
            </w:pPr>
            <w:r>
              <w:rPr>
                <w:rFonts w:ascii="Arial" w:hAnsi="Arial"/>
                <w:b w:val="false"/>
                <w:i w:val="false"/>
                <w:color w:val="333333"/>
                <w:sz w:val="18"/>
              </w:rPr>
              <w:t>L'exploitant assure que l'installation, les opérations qui sont effectuées, le matériel, l'organisation, la qualification et la formation du personnel, le programme d'assurance de la qualité, les dispositifs et consignes de sûreté sont conformes au rapport de sûreté.</w:t>
            </w:r>
          </w:p>
          <w:p>
            <w:pPr>
              <w:spacing w:before="60" w:after="60"/>
              <w:ind w:left="45"/>
              <w:jc w:val="left"/>
            </w:pPr>
            <w:r>
              <w:rPr>
                <w:rFonts w:ascii="Arial" w:hAnsi="Arial"/>
                <w:b w:val="false"/>
                <w:i w:val="false"/>
                <w:color w:val="333333"/>
                <w:sz w:val="18"/>
              </w:rPr>
              <w:t>Le rapport de sûreté doit également servir de base à l'exploitant pour évaluer les incidences sur la sûreté nucléaire des modifications apportées à l'installation ou à des pratiques d'exploitation.</w:t>
            </w:r>
          </w:p>
          <w:p>
            <w:pPr>
              <w:spacing w:before="0" w:after="0"/>
              <w:ind w:left="45"/>
              <w:jc w:val="left"/>
            </w:pPr>
          </w:p>
          <w:p>
            <w:pPr>
              <w:spacing w:before="0" w:after="0"/>
              <w:ind w:left="45"/>
              <w:jc w:val="left"/>
            </w:pPr>
            <w:r>
              <w:rPr>
                <w:rFonts w:ascii="Arial" w:hAnsi="Arial"/>
                <w:b w:val="false"/>
                <w:i w:val="false"/>
                <w:color w:val="333333"/>
                <w:sz w:val="18"/>
              </w:rPr>
              <w:t xml:space="preserve">13.2 Contenu du rapport de sûreté </w:t>
            </w:r>
          </w:p>
          <w:p>
            <w:pPr>
              <w:spacing w:before="60" w:after="60"/>
              <w:ind w:left="45"/>
              <w:jc w:val="left"/>
            </w:pPr>
            <w:r>
              <w:rPr>
                <w:rFonts w:ascii="Arial" w:hAnsi="Arial"/>
                <w:b w:val="false"/>
                <w:i w:val="false"/>
                <w:color w:val="333333"/>
                <w:sz w:val="18"/>
              </w:rPr>
              <w:t>[Un règlement technique de l'Agence] peut préciser le contenu détaillé du rapport de sûreté selon le type d'installation.</w:t>
            </w:r>
          </w:p>
          <w:p>
            <w:pPr>
              <w:spacing w:before="0" w:after="0"/>
              <w:ind w:left="45"/>
              <w:jc w:val="left"/>
            </w:pPr>
          </w:p>
          <w:p>
            <w:pPr>
              <w:spacing w:before="0" w:after="0"/>
              <w:ind w:left="45"/>
              <w:jc w:val="left"/>
            </w:pPr>
            <w:r>
              <w:rPr>
                <w:rFonts w:ascii="Arial" w:hAnsi="Arial"/>
                <w:b w:val="false"/>
                <w:i w:val="false"/>
                <w:color w:val="333333"/>
                <w:sz w:val="18"/>
              </w:rPr>
              <w:t xml:space="preserve">13.3 Mise à jour du rapport de sûreté </w:t>
            </w:r>
          </w:p>
          <w:p>
            <w:pPr>
              <w:spacing w:before="60" w:after="60"/>
              <w:ind w:left="45"/>
              <w:jc w:val="left"/>
            </w:pPr>
            <w:r>
              <w:rPr>
                <w:rFonts w:ascii="Arial" w:hAnsi="Arial"/>
                <w:b w:val="false"/>
                <w:i w:val="false"/>
                <w:color w:val="333333"/>
                <w:sz w:val="18"/>
              </w:rPr>
              <w:t>L'exploitant établit une procédure pour la mise à jour du rapport de sûreté. Les responsabilités pour la révision du rapport de sûreté doivent être clairement attribuées. La mise à jour du rapport de sûreté est approuvée par l'autorité de sûreté.</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