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08/06/1867 Strafwetboek - uittreksel</w:t>
            </w:r>
            <w:r>
              <w:br/>
            </w:r>
            <w:r>
              <w:rPr>
                <w:rFonts w:ascii="Arial" w:hAnsi="Arial"/>
                <w:b/>
                <w:i w:val="false"/>
                <w:color w:val="333333"/>
              </w:rPr>
              <w:t xml:space="preserve"> Strafwetboek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08/06/67 Code pénal - extrait</w:t>
            </w:r>
            <w:r>
              <w:br/>
            </w:r>
            <w:r>
              <w:rPr>
                <w:rFonts w:ascii="Arial" w:hAnsi="Arial"/>
                <w:b/>
                <w:i w:val="false"/>
                <w:color w:val="333333"/>
              </w:rPr>
              <w:t xml:space="preserve"> Code pénal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259bis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Met [gevangenisstraf van zes maanden tot drie jaar] en met geldboete van vijfhonderd [euro] tot twintigduizend [euro] of met een van die straffen alleen wordt gestraft ieder openbaar officier of ambtenaar, drager of agent van de openbare macht die, naar aanleiding van de uitoefening van zijn bediening, buiten de gevallen die de wet bepaalt of zonder inachtneming van de vormen die zij voorschrijft: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[ofwel, opzettelijk, met behulp van enig toestel niet voor publiek toegankelijke communicatie, waaraan hij niet deelneemt, onderschept of doet onderscheppen, er kennis van neemt of doet van nemen, opneemt of doet opnemen, zonder de toestemming van alle deelnemers aan die communicatie;]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ofwel, met het opzet een van de hierboven omschreven misdrijven te plegen, enig toestel opstelt of doet opstellen;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[ofwel wetens de inhoud van niet voor publiek toegankelijke communicatie of gegevens van een informaticasysteem die onwettig onderschept of opgenomen zijn of waarvan onwettig kennis genomen is, onder zich houdt, aan een andere persoon onthult of verspreidt, of wetens enig gebruik maakt van een op die manier verkregen inlichting.]</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Met [gevangenisstraf van zes maanden tot vijf jaar] en met geldboete van vijfhonderd [euro] tot dertigduizend [euro] of met een van die straffen alleen wordt gestraft ieder openbaar officier of ambtenaar, drager of agent van de openbare macht die, naar aanleiding van de uitoefening van zijn bediening, buiten de gevallen die de wet bepaalt of zonder inachtneming van de vormen die zij voorschrijft, met bedrieglijk opzet of met het oogmerk te schaden, gebruikt maakt van [een wettig gemaakte opname van niet voor publiek toegankelijke communicatie of gegevens van een informaticasysteem].</w:t>
            </w:r>
          </w:p>
          <w:p>
            <w:pPr>
              <w:spacing w:before="0" w:after="0"/>
              <w:ind w:left="45"/>
              <w:jc w:val="left"/>
            </w:pPr>
          </w:p>
          <w:p>
            <w:pPr>
              <w:spacing w:before="0" w:after="0"/>
              <w:ind w:left="45"/>
              <w:jc w:val="left"/>
            </w:pPr>
            <w:r>
              <w:rPr>
                <w:rFonts w:ascii="Arial" w:hAnsi="Arial"/>
                <w:b w:val="false"/>
                <w:i w:val="false"/>
                <w:color w:val="333333"/>
                <w:sz w:val="18"/>
              </w:rPr>
              <w:t xml:space="preserve">[§ 2bis </w:t>
            </w:r>
          </w:p>
          <w:p>
            <w:pPr>
              <w:spacing w:before="60" w:after="60"/>
              <w:ind w:left="45"/>
              <w:jc w:val="left"/>
            </w:pPr>
            <w:r>
              <w:rPr>
                <w:rFonts w:ascii="Arial" w:hAnsi="Arial"/>
                <w:b w:val="false"/>
                <w:i w:val="false"/>
                <w:color w:val="333333"/>
                <w:sz w:val="18"/>
              </w:rPr>
              <w:t>Met [gevangenisstraf van zes maanden tot drie jaar] en met geldboete van vijfhonderd euro tot twintigduizend euro of met één van die straffen alleen wordt gestraft ieder openbaar officier of ambtenaar, drager of agent van de openbare macht die, naar aanleiding van de uitoefening van zijn bediening, buiten de gevallen die de wet bepaalt of zonder inachtneming van de vormen die zij voorschrijft, onrechtmatig, een instrument, met inbegrip van informaticagegevens, dat hoofdzakelijk is ontworpen of aangepast om het in § 1 bedoelde misdrijf mogelijk te maken, bezit, produceert, verkoopt, verkrijgt met het oog op het gebruik ervan, invoert, verspreidt of op enige andere manier ter beschikking stelt.]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Poging tot het plegen van een der misdrijven bedoeld [in §§ 1, 2 of § 2bis] wordt gestraft zoals het misdrijf zelf.</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straffen gesteld [in de §§ 1 tot 3] worden verdubbeld indien een overtreding van een van die bepalingen wordt begaan binnen vijf jaar na de uitspraak van een vonnis of een arrest houdende veroordeling wegens een van die strafbare feiten of wegens een van de strafbare feiten beoogd [in artikel 314bis, §§ 1 tot 3], dat in kracht van gewijsde is gegaan.]</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259bis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Sera puni [d'un emprisonnement de six mois à trois ans] et d'une amende de cinq cents [euros] à vingt mille [euros] ou d'une de ces peines seulement, tout officier ou fonctionnaire public, dépositaire ou agent de la force publique qui, à l'occasion de l'exercice de ses fonctions, hors les cas prévus par la loi ou sans respecter les formalités qu'elle prescrit: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[soit, intentionnellement, à l'aide d'un appareil quelconque, intercepte ou fait intercepter, prend connaissance ou fait prendre connaissance, enregistre ou fait enregistrer des communications non accessibles au public, auxquelles il ne prend pas part, sans le consentement de tous les participants à ces communications;]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soit, avec l'intention de commettre une des infractions mentionnées ci-dessus, installe ou fait installer un appareil quelconque;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[soit, sciemment, détient, révèle ou divulgue à une autre personne le contenu de communications non accessibles au public ou de données d'un système informatique illégalement interceptées ou enregistrées, ou dont il a pris connaissance illégalement, ou utilise sciemment d'une manière quelconque une information obtenue de cette façon.]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Sera puni [d'un emprisonnement de six mois à cinq ans] et d'une amende de cinq cents [euros] à trente mille [euros] ou d'une de ces peines seulement, tout officier ou fonctionnaire public, dépositaire ou agent de la force publique qui, à l'occasion de l'exercice de ses fonctions, hors les cas prévus par la loi ou sans respecter les formalités qu'elle prescrit, avec une intention frauduleuse ou à dessein de nuire, utilise un enregistrement, légalement effectué, [de communications non accessibles au public ou de données d'un système informatique].</w:t>
            </w:r>
          </w:p>
          <w:p>
            <w:pPr>
              <w:spacing w:before="0" w:after="0"/>
              <w:ind w:left="45"/>
              <w:jc w:val="left"/>
            </w:pPr>
          </w:p>
          <w:p>
            <w:pPr>
              <w:spacing w:before="0" w:after="0"/>
              <w:ind w:left="45"/>
              <w:jc w:val="left"/>
            </w:pPr>
            <w:r>
              <w:rPr>
                <w:rFonts w:ascii="Arial" w:hAnsi="Arial"/>
                <w:b w:val="false"/>
                <w:i w:val="false"/>
                <w:color w:val="333333"/>
                <w:sz w:val="18"/>
              </w:rPr>
              <w:t xml:space="preserve">[§ 2bis </w:t>
            </w:r>
          </w:p>
          <w:p>
            <w:pPr>
              <w:spacing w:before="60" w:after="60"/>
              <w:ind w:left="45"/>
              <w:jc w:val="left"/>
            </w:pPr>
            <w:r>
              <w:rPr>
                <w:rFonts w:ascii="Arial" w:hAnsi="Arial"/>
                <w:b w:val="false"/>
                <w:i w:val="false"/>
                <w:color w:val="333333"/>
                <w:sz w:val="18"/>
              </w:rPr>
              <w:t>Sera puni [d'un emprisonnement de six mois à trois ans] et d’une amende de cinq cents euros à vingt mille euros ou d’une de ces peines seulement, tout officier ou fonctionnaire public, dépositaire ou agent de la force publique qui, à l’occasion de l’exercice de ses fonctions, hors les cas prévus par la loi ou sans respecter les formalités qu’elle prescrit, indûment, possède, produit, vend, obtient en vue de son utilisation, importe, diffuse ou met à disposition sous une autre forme un dispositif, y compris des données informatiques, principalement conçu ou adapté pour permettre la commission de l’infraction prévue au § 1</w:t>
            </w:r>
            <w:r>
              <w:rPr>
                <w:rFonts w:ascii="Arial" w:hAnsi="Arial"/>
                <w:b w:val="false"/>
                <w:i w:val="false"/>
                <w:color w:val="333333"/>
                <w:sz w:val="18"/>
                <w:vertAlign w:val="superscript"/>
              </w:rPr>
              <w:t>er</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tentative de commettre une des infractions visées aux [§§ 1</w:t>
            </w:r>
            <w:r>
              <w:rPr>
                <w:rFonts w:ascii="Arial" w:hAnsi="Arial"/>
                <w:b w:val="false"/>
                <w:i w:val="false"/>
                <w:color w:val="333333"/>
                <w:sz w:val="18"/>
                <w:vertAlign w:val="superscript"/>
              </w:rPr>
              <w:t>er</w:t>
            </w:r>
            <w:r>
              <w:rPr>
                <w:rFonts w:ascii="Arial" w:hAnsi="Arial"/>
                <w:b w:val="false"/>
                <w:i w:val="false"/>
                <w:color w:val="333333"/>
                <w:sz w:val="18"/>
              </w:rPr>
              <w:t>, 2 ou 2bis] est punie comme l'infraction elle-même.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Les peines [prévues aux §§ 1</w:t>
            </w:r>
            <w:r>
              <w:rPr>
                <w:rFonts w:ascii="Arial" w:hAnsi="Arial"/>
                <w:b w:val="false"/>
                <w:i w:val="false"/>
                <w:color w:val="333333"/>
                <w:sz w:val="18"/>
                <w:vertAlign w:val="superscript"/>
              </w:rPr>
              <w:t>er</w:t>
            </w:r>
            <w:r>
              <w:rPr>
                <w:rFonts w:ascii="Arial" w:hAnsi="Arial"/>
                <w:b w:val="false"/>
                <w:i w:val="false"/>
                <w:color w:val="333333"/>
                <w:sz w:val="18"/>
              </w:rPr>
              <w:t xml:space="preserve"> à 3] sont doublées si une infraction à l'une de ces dispositions est commise dans les cinq ans à compter du prononcé d'un jugement ou d'un arrêt, passés en force de chose jugée, portant condamnation en raison de l'une de ces infractions ou de l'une des infractions visées [à l'article 314bis, §§ 1</w:t>
            </w:r>
            <w:r>
              <w:rPr>
                <w:rFonts w:ascii="Arial" w:hAnsi="Arial"/>
                <w:b w:val="false"/>
                <w:i w:val="false"/>
                <w:color w:val="333333"/>
                <w:sz w:val="18"/>
                <w:vertAlign w:val="superscript"/>
              </w:rPr>
              <w:t>er</w:t>
            </w:r>
            <w:r>
              <w:rPr>
                <w:rFonts w:ascii="Arial" w:hAnsi="Arial"/>
                <w:b w:val="false"/>
                <w:i w:val="false"/>
                <w:color w:val="333333"/>
                <w:sz w:val="18"/>
              </w:rPr>
              <w:t xml:space="preserve"> à 3].]</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