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12800"/>
        <w:gridCol w:w="12800"/>
      </w:tblGrid>
      <w:tr>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16/08/21 Fixation des niveaux de libération surfacique pour des bâtiments et certains matériaux</w:t>
            </w:r>
            <w:r>
              <w:br/>
            </w:r>
            <w:r>
              <w:rPr>
                <w:rFonts w:ascii="Arial" w:hAnsi="Arial"/>
                <w:b/>
                <w:i w:val="false"/>
                <w:color w:val="333333"/>
              </w:rPr>
              <w:t>Règlement technique de l'Agence fédérale de Contrôle nucléaire du 16 août 2021 fixant les niveaux de libération surfacique pour des bâtiments, pour certains matériaux ou pour des matériaux provenant de pratiques spécifiques</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 ci-après dénommé “RGPRI”, article 35.6;</w:t>
            </w:r>
          </w:p>
          <w:p>
            <w:pPr>
              <w:spacing w:before="0" w:after="0"/>
              <w:ind w:left="45"/>
              <w:jc w:val="left"/>
            </w:pPr>
            <w:r>
              <w:rPr>
                <w:rFonts w:ascii="Arial" w:hAnsi="Arial"/>
                <w:b w:val="false"/>
                <w:i w:val="false"/>
                <w:color w:val="333333"/>
                <w:sz w:val="18"/>
              </w:rPr>
              <w:t>Considérant les critères repris à l'annexe IB, point 2 et point 3 du RGPRI;</w:t>
            </w:r>
          </w:p>
          <w:p>
            <w:pPr>
              <w:spacing w:before="0" w:after="0"/>
              <w:ind w:left="45"/>
              <w:jc w:val="left"/>
            </w:pPr>
            <w:r>
              <w:rPr>
                <w:rFonts w:ascii="Arial" w:hAnsi="Arial"/>
                <w:b w:val="false"/>
                <w:i w:val="false"/>
                <w:color w:val="333333"/>
                <w:sz w:val="18"/>
              </w:rPr>
              <w:t>Considérant les critères repris dans le document “Radiation Protection 89 – Recommended radiological protection criteria for the recycling of metals from the dismantling of nuclear installations, European commission, 1998” - § 3.1 Clearance criteria for metal scrap recycling.”;</w:t>
            </w:r>
          </w:p>
          <w:p>
            <w:pPr>
              <w:spacing w:before="0" w:after="0"/>
              <w:ind w:left="45"/>
              <w:jc w:val="left"/>
            </w:pPr>
            <w:r>
              <w:rPr>
                <w:rFonts w:ascii="Arial" w:hAnsi="Arial"/>
                <w:b w:val="false"/>
                <w:i w:val="false"/>
                <w:color w:val="333333"/>
                <w:sz w:val="18"/>
              </w:rPr>
              <w:t>Considérant les critères repris dans le document “Radiation Protection 113 – Recommended radiological protection criteria for the clearance of buildings and building rubble from the dismantling of nuclear installations, European Commission, 2000” - § 3.1 Clearance criteria for the reuse (or demolition) of buildings.”;</w:t>
            </w:r>
          </w:p>
          <w:p>
            <w:pPr>
              <w:spacing w:before="0" w:after="0"/>
              <w:ind w:left="45"/>
              <w:jc w:val="left"/>
            </w:pPr>
            <w:r>
              <w:rPr>
                <w:rFonts w:ascii="Arial" w:hAnsi="Arial"/>
                <w:b w:val="false"/>
                <w:i w:val="false"/>
                <w:color w:val="333333"/>
                <w:sz w:val="18"/>
              </w:rPr>
              <w:t>Considérant les critères repris dans le document “Report on derived surface specific clearance levels based on the SUDOQU-methodology for FANC, Bel V raport Nr. R-XROODE-SCD-20-001-0-e, 09/11/2020”.</w:t>
            </w:r>
          </w:p>
          <w:p>
            <w:pPr>
              <w:spacing w:before="0" w:after="0"/>
              <w:ind w:left="45"/>
              <w:jc w:val="left"/>
            </w:pPr>
            <w:r>
              <w:rPr>
                <w:rFonts w:ascii="Arial" w:hAnsi="Arial"/>
                <w:b w:val="false"/>
                <w:i w:val="false"/>
                <w:color w:val="333333"/>
                <w:sz w:val="18"/>
              </w:rPr>
              <w:t>(...)</w:t>
            </w:r>
          </w:p>
        </w:tc>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16/08/21 Vastlegging van de oppervlakte vrijgaveniveaus voor gebouwen en materialen</w:t>
            </w:r>
            <w:r>
              <w:br/>
            </w:r>
            <w:r>
              <w:rPr>
                <w:rFonts w:ascii="Arial" w:hAnsi="Arial"/>
                <w:b/>
                <w:i w:val="false"/>
                <w:color w:val="333333"/>
              </w:rPr>
              <w:t>Technisch reglement van het Federaal Agentschap voor Nucleaire Controle van 16 augustus 2021 houdende de vastlegging van de oppervlakte vrijgaveniveaus voor gebouwen, voor bepaalde materialen of voor materialen afkomstig van specifieke handelingen</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 hierna “ARBIS”, artikel 35.6;</w:t>
            </w:r>
          </w:p>
          <w:p>
            <w:pPr>
              <w:spacing w:before="0" w:after="0"/>
              <w:ind w:left="45"/>
              <w:jc w:val="left"/>
            </w:pPr>
            <w:r>
              <w:rPr>
                <w:rFonts w:ascii="Arial" w:hAnsi="Arial"/>
                <w:b w:val="false"/>
                <w:i w:val="false"/>
                <w:color w:val="333333"/>
                <w:sz w:val="18"/>
              </w:rPr>
              <w:t>Overwegende de criteria opgenomen in bijlage IB, punt 2 en punt 3 van het ARBIS;</w:t>
            </w:r>
          </w:p>
          <w:p>
            <w:pPr>
              <w:spacing w:before="0" w:after="0"/>
              <w:ind w:left="45"/>
              <w:jc w:val="left"/>
            </w:pPr>
            <w:r>
              <w:rPr>
                <w:rFonts w:ascii="Arial" w:hAnsi="Arial"/>
                <w:b w:val="false"/>
                <w:i w:val="false"/>
                <w:color w:val="333333"/>
                <w:sz w:val="18"/>
              </w:rPr>
              <w:t>Overwegende de criteria uit het document “Radiation Protection 89 – Recommended radiological protection criteria for the recycling of metals from the dismantling of nuclear installations, European Commission 1998” - § 3.1 Clearance criteria for metal scrap recycling.”;</w:t>
            </w:r>
          </w:p>
          <w:p>
            <w:pPr>
              <w:spacing w:before="0" w:after="0"/>
              <w:ind w:left="45"/>
              <w:jc w:val="left"/>
            </w:pPr>
            <w:r>
              <w:rPr>
                <w:rFonts w:ascii="Arial" w:hAnsi="Arial"/>
                <w:b w:val="false"/>
                <w:i w:val="false"/>
                <w:color w:val="333333"/>
                <w:sz w:val="18"/>
              </w:rPr>
              <w:t>Overwegende de criteria uit het document “Radiation Protection 113 – Recommended radiological protection criteria for the clearance of buildings and building rubble from the dismantling of nuclear installations, European Commission, 2000” - § 3.1 Clearance criteria for the reuse (or demolition) of buildings.”;</w:t>
            </w:r>
          </w:p>
          <w:p>
            <w:pPr>
              <w:spacing w:before="0" w:after="0"/>
              <w:ind w:left="45"/>
              <w:jc w:val="left"/>
            </w:pPr>
            <w:r>
              <w:rPr>
                <w:rFonts w:ascii="Arial" w:hAnsi="Arial"/>
                <w:b w:val="false"/>
                <w:i w:val="false"/>
                <w:color w:val="333333"/>
                <w:sz w:val="18"/>
              </w:rPr>
              <w:t>Overwegende de criteria uit het document “Report on derived surface specific clearance levels based on the SUDOQU-methodology for FANC, Bel V raport Nr. R-XROODE-SCD-20-001-0-e, 09/11/2020”.</w:t>
            </w:r>
          </w:p>
          <w:p>
            <w:pPr>
              <w:spacing w:before="0" w:after="0"/>
              <w:ind w:left="45"/>
              <w:jc w:val="left"/>
            </w:pPr>
            <w:r>
              <w:rPr>
                <w:rFonts w:ascii="Arial" w:hAnsi="Arial"/>
                <w:b w:val="false"/>
                <w:i w:val="false"/>
                <w:color w:val="333333"/>
                <w:sz w:val="18"/>
              </w:rPr>
              <w:t>(...)</w:t>
            </w:r>
          </w:p>
        </w:tc>
      </w:tr>
      <w:tr>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Champ d'application</w:t>
            </w:r>
          </w:p>
          <w:p>
            <w:pPr>
              <w:spacing w:before="60" w:after="60"/>
              <w:ind w:left="45"/>
              <w:jc w:val="left"/>
            </w:pPr>
            <w:r>
              <w:rPr>
                <w:rFonts w:ascii="Arial" w:hAnsi="Arial"/>
                <w:b w:val="false"/>
                <w:i w:val="false"/>
                <w:color w:val="333333"/>
                <w:sz w:val="18"/>
              </w:rPr>
              <w:t>Le présent règlement est d'application pour la libération de certains matériaux ou pour des matériaux provenant de pratiques spécifiques, bâtiments, locaux et sections de bâtiments où une contamination radioactive est exclusivement présente en surface.</w:t>
            </w:r>
          </w:p>
          <w:p>
            <w:pPr>
              <w:spacing w:before="60" w:after="60"/>
              <w:ind w:left="45"/>
              <w:jc w:val="left"/>
            </w:pPr>
            <w:r>
              <w:rPr>
                <w:rFonts w:ascii="Arial" w:hAnsi="Arial"/>
                <w:b w:val="false"/>
                <w:i w:val="false"/>
                <w:color w:val="333333"/>
                <w:sz w:val="18"/>
              </w:rPr>
              <w:t>Les niveaux de libération de contamination surfacique des matériaux repris dans le présent règlement ne sont pas d'application pour des gravats de construction.</w:t>
            </w:r>
          </w:p>
        </w:tc>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Toepassingsgebied</w:t>
            </w:r>
          </w:p>
          <w:p>
            <w:pPr>
              <w:spacing w:before="60" w:after="60"/>
              <w:ind w:left="45"/>
              <w:jc w:val="left"/>
            </w:pPr>
            <w:r>
              <w:rPr>
                <w:rFonts w:ascii="Arial" w:hAnsi="Arial"/>
                <w:b w:val="false"/>
                <w:i w:val="false"/>
                <w:color w:val="333333"/>
                <w:sz w:val="18"/>
              </w:rPr>
              <w:t>Huidig reglement is van toepassing op de vrijgave van bepaalde materialen of voor materialen afkomstig van specifieke handelingen en op de vrijgave van gebouwen, lokalen en secties van gebouwen waar uitsluitend radioactieve besmetting aan de oppervlakte aanwezig is.</w:t>
            </w:r>
          </w:p>
          <w:p>
            <w:pPr>
              <w:spacing w:before="60" w:after="60"/>
              <w:ind w:left="45"/>
              <w:jc w:val="left"/>
            </w:pPr>
            <w:r>
              <w:rPr>
                <w:rFonts w:ascii="Arial" w:hAnsi="Arial"/>
                <w:b w:val="false"/>
                <w:i w:val="false"/>
                <w:color w:val="333333"/>
                <w:sz w:val="18"/>
              </w:rPr>
              <w:t>De vrijgaveniveaus voor oppervlaktebesmetting van materialen opgenomen in huidig reglement zijn niet van toepassing op bouwpuin.</w:t>
            </w:r>
          </w:p>
        </w:tc>
      </w:tr>
      <w:tr>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Niveaux de libération de contamination surfacique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La contamination surfacique est la contamination totale à la surface, mesurée en Becquerel, divisée par la surface exprimée en centimètres carrés, et comprend la contamination fixée et non fixée.</w:t>
            </w:r>
          </w:p>
          <w:p>
            <w:pPr>
              <w:spacing w:before="60" w:after="60"/>
              <w:ind w:left="45"/>
              <w:jc w:val="left"/>
            </w:pPr>
            <w:r>
              <w:rPr>
                <w:rFonts w:ascii="Arial" w:hAnsi="Arial"/>
                <w:b w:val="false"/>
                <w:i w:val="false"/>
                <w:color w:val="333333"/>
                <w:sz w:val="18"/>
              </w:rPr>
              <w:t>La surface sur laquelle la mesure de la contamination surfacique peut être moyennée est de 1 m</w:t>
            </w:r>
            <w:r>
              <w:rPr>
                <w:rFonts w:ascii="Arial" w:hAnsi="Arial"/>
                <w:b w:val="false"/>
                <w:i w:val="false"/>
                <w:color w:val="333333"/>
                <w:sz w:val="18"/>
                <w:vertAlign w:val="superscript"/>
              </w:rPr>
              <w:t>2</w:t>
            </w:r>
            <w:r>
              <w:rPr>
                <w:rFonts w:ascii="Arial" w:hAnsi="Arial"/>
                <w:b w:val="false"/>
                <w:i w:val="false"/>
                <w:color w:val="333333"/>
                <w:sz w:val="18"/>
              </w:rPr>
              <w:t xml:space="preserve"> maximum si la contamination est homogène et après élimination des pics de contamination surfacique (“hot spots”).</w:t>
            </w:r>
          </w:p>
          <w:p>
            <w:pPr>
              <w:spacing w:before="60" w:after="60"/>
              <w:ind w:left="45"/>
              <w:jc w:val="left"/>
            </w:pPr>
            <w:r>
              <w:rPr>
                <w:rFonts w:ascii="Arial" w:hAnsi="Arial"/>
                <w:b w:val="false"/>
                <w:i w:val="false"/>
                <w:color w:val="333333"/>
                <w:sz w:val="18"/>
              </w:rPr>
              <w:t>Si la zone mesurée est recouverte d'une couche de revêtement, d'un enrobage (coating), d'une peinture ou d'une couche d'oxyde, l'exploitant doit démontrer que la mesure n'a pas été affectée ou l'exploitant doit montrer comment il en a tenu compte.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Pour les bâtiments destinés à la réutilisation ou à la démolition, les bâtiments destinés uniquement à la démolition, les métaux destinés au recyclage et les métaux destinés à la réutilisation directe, la libération peut s'effectuer sur la base de niveaux de libération surfacique spécifiques par radionucléide figurant dans les annexes 1 à 4 ou sur la base des niveaux de libération surfacique non spécifiques aux radionucléides suivants:</w:t>
            </w:r>
          </w:p>
          <w:tbl>
            <w:tblPr>
              <w:tblW w:w="0" w:type="auto"/>
              <w:tblCellSpacing w:w="0" w:type="dxa"/>
              <w:tblBorders>
                <w:top w:val="none"/>
                <w:left w:val="none"/>
                <w:bottom w:val="none"/>
                <w:right w:val="none"/>
                <w:insideH w:val="none"/>
                <w:insideV w:val="none"/>
              </w:tblBorders>
            </w:tblPr>
            <w:tblGrid>
              <w:gridCol w:w="4264"/>
              <w:gridCol w:w="4096"/>
            </w:tblGrid>
            <w:tr>
              <w:trPr>
                <w:trHeight w:val="345" w:hRule="atLeast"/>
              </w:trPr>
              <w:tc>
                <w:tcPr>
                  <w:tcW w:w="426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bottom"/>
                </w:tcPr>
                <w:p>
                  <w:pPr>
                    <w:spacing w:before="0" w:after="0"/>
                    <w:ind w:left="75"/>
                    <w:jc w:val="left"/>
                  </w:pPr>
                  <w:r>
                    <w:rPr>
                      <w:rFonts w:ascii="Arial" w:hAnsi="Arial"/>
                      <w:b/>
                      <w:i w:val="false"/>
                      <w:color w:val="333333"/>
                      <w:sz w:val="18"/>
                    </w:rPr>
                    <w:t>Type</w:t>
                  </w:r>
                </w:p>
              </w:tc>
              <w:tc>
                <w:tcPr>
                  <w:tcW w:w="4096" w:type="dxa"/>
                  <w:tcBorders>
                    <w:top w:val="single" w:color="000000" w:sz="8"/>
                    <w:bottom w:val="single" w:color="000000" w:sz="8"/>
                    <w:right w:val="single" w:color="000000" w:sz="8"/>
                  </w:tcBorders>
                  <w:tcMar>
                    <w:top w:w="30" w:type="dxa"/>
                    <w:left w:w="30" w:type="dxa"/>
                    <w:bottom w:w="30" w:type="dxa"/>
                    <w:right w:w="30" w:type="dxa"/>
                  </w:tcMar>
                  <w:vAlign w:val="bottom"/>
                </w:tcPr>
                <w:p>
                  <w:pPr>
                    <w:spacing w:before="0" w:after="0"/>
                    <w:ind w:left="75"/>
                    <w:jc w:val="left"/>
                  </w:pPr>
                  <w:r>
                    <w:rPr>
                      <w:rFonts w:ascii="Arial" w:hAnsi="Arial"/>
                      <w:b/>
                      <w:i w:val="false"/>
                      <w:color w:val="333333"/>
                      <w:sz w:val="18"/>
                    </w:rPr>
                    <w:t>Niveau de libération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émetteurs bêta et gamma</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0,4</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émetteurs alpha</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0,04</w:t>
                  </w:r>
                </w:p>
              </w:tc>
            </w:tr>
          </w:tbl>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Pour les matériaux autres que les métaux visés au paragraphe 2, la libération peut se faire sur la base des niveaux de libération surfacique spécifiques par radionucléide de l'annexe 5 ou sur la base des niveaux de libération surfacique non spécifiques aux radionucléides suivants:</w:t>
            </w:r>
          </w:p>
          <w:tbl>
            <w:tblPr>
              <w:tblW w:w="0" w:type="auto"/>
              <w:tblCellSpacing w:w="0" w:type="dxa"/>
              <w:tblBorders>
                <w:top w:val="none"/>
                <w:left w:val="none"/>
                <w:bottom w:val="none"/>
                <w:right w:val="none"/>
                <w:insideH w:val="none"/>
                <w:insideV w:val="none"/>
              </w:tblBorders>
            </w:tblPr>
            <w:tblGrid>
              <w:gridCol w:w="3762"/>
              <w:gridCol w:w="4598"/>
            </w:tblGrid>
            <w:tr>
              <w:trPr>
                <w:trHeight w:val="345" w:hRule="atLeast"/>
              </w:trPr>
              <w:tc>
                <w:tcPr>
                  <w:tcW w:w="3762"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bottom"/>
                </w:tcPr>
                <w:p>
                  <w:pPr>
                    <w:spacing w:before="0" w:after="0"/>
                    <w:ind w:left="75"/>
                    <w:jc w:val="left"/>
                  </w:pPr>
                  <w:r>
                    <w:rPr>
                      <w:rFonts w:ascii="Arial" w:hAnsi="Arial"/>
                      <w:b/>
                      <w:i w:val="false"/>
                      <w:color w:val="333333"/>
                      <w:sz w:val="18"/>
                    </w:rPr>
                    <w:t>Type</w:t>
                  </w:r>
                </w:p>
              </w:tc>
              <w:tc>
                <w:tcPr>
                  <w:tcW w:w="4598" w:type="dxa"/>
                  <w:tcBorders>
                    <w:top w:val="single" w:color="000000" w:sz="8"/>
                    <w:bottom w:val="single" w:color="000000" w:sz="8"/>
                    <w:right w:val="single" w:color="000000" w:sz="8"/>
                  </w:tcBorders>
                  <w:tcMar>
                    <w:top w:w="30" w:type="dxa"/>
                    <w:left w:w="30" w:type="dxa"/>
                    <w:bottom w:w="30" w:type="dxa"/>
                    <w:right w:w="30" w:type="dxa"/>
                  </w:tcMar>
                  <w:vAlign w:val="bottom"/>
                </w:tcPr>
                <w:p>
                  <w:pPr>
                    <w:spacing w:before="0" w:after="0"/>
                    <w:ind w:left="75"/>
                    <w:jc w:val="left"/>
                  </w:pPr>
                  <w:r>
                    <w:rPr>
                      <w:rFonts w:ascii="Arial" w:hAnsi="Arial"/>
                      <w:b/>
                      <w:i w:val="false"/>
                      <w:color w:val="333333"/>
                      <w:sz w:val="18"/>
                    </w:rPr>
                    <w:t>Niveau de libération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3762"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émetteurs bêta et gamma</w:t>
                  </w:r>
                </w:p>
              </w:tc>
              <w:tc>
                <w:tcPr>
                  <w:tcW w:w="4598"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0,4</w:t>
                  </w:r>
                </w:p>
              </w:tc>
            </w:tr>
            <w:tr>
              <w:trPr>
                <w:trHeight w:val="270" w:hRule="atLeast"/>
              </w:trPr>
              <w:tc>
                <w:tcPr>
                  <w:tcW w:w="3762"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émetteurs alpha</w:t>
                  </w:r>
                </w:p>
              </w:tc>
              <w:tc>
                <w:tcPr>
                  <w:tcW w:w="4598"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0,04</w:t>
                  </w:r>
                </w:p>
              </w:tc>
            </w:tr>
          </w:tbl>
          <w:p/>
        </w:tc>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Vrijgaveniveaus voor oppervlaktebesmetting</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oppervlaktebesmetting is de totale besmetting op het oppervlak, in Becquerel, gedeeld door het gemeten oppervlak in vierkante centimeter en omvat de afneembare en niet-afneembare besmetting.</w:t>
            </w:r>
          </w:p>
          <w:p>
            <w:pPr>
              <w:spacing w:before="60" w:after="60"/>
              <w:ind w:left="45"/>
              <w:jc w:val="left"/>
            </w:pPr>
            <w:r>
              <w:rPr>
                <w:rFonts w:ascii="Arial" w:hAnsi="Arial"/>
                <w:b w:val="false"/>
                <w:i w:val="false"/>
                <w:color w:val="333333"/>
                <w:sz w:val="18"/>
              </w:rPr>
              <w:t>De oppervlakte waarover de meting van oppervlaktebesmetting mag uitgemiddeld worden, bedraagt maximaal 1 m</w:t>
            </w:r>
            <w:r>
              <w:rPr>
                <w:rFonts w:ascii="Arial" w:hAnsi="Arial"/>
                <w:b w:val="false"/>
                <w:i w:val="false"/>
                <w:color w:val="333333"/>
                <w:sz w:val="18"/>
                <w:vertAlign w:val="superscript"/>
              </w:rPr>
              <w:t>2</w:t>
            </w:r>
            <w:r>
              <w:rPr>
                <w:rFonts w:ascii="Arial" w:hAnsi="Arial"/>
                <w:b w:val="false"/>
                <w:i w:val="false"/>
                <w:color w:val="333333"/>
                <w:sz w:val="18"/>
              </w:rPr>
              <w:t xml:space="preserve"> indien de besmetting homogeen is en na verwijdering van geconcentreerde oppervlaktebesmetting (“hot spots”).</w:t>
            </w:r>
          </w:p>
          <w:p>
            <w:pPr>
              <w:spacing w:before="60" w:after="60"/>
              <w:ind w:left="45"/>
              <w:jc w:val="left"/>
            </w:pPr>
            <w:r>
              <w:rPr>
                <w:rFonts w:ascii="Arial" w:hAnsi="Arial"/>
                <w:b w:val="false"/>
                <w:i w:val="false"/>
                <w:color w:val="333333"/>
                <w:sz w:val="18"/>
              </w:rPr>
              <w:t>Indien de gemeten oppervlakte bedekt is met een afdekkende laag, coating, verf of oxidelaag, dient de exploitant aan te tonen dat de meting hierdoor niet beïnvloed is of dient de exploitant aan te tonen hoe hij dit in rekening heeft gebracht.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Voor gebouwen bestemd voor hergebruik of afbraak, gebouwen bestemd louter voor de afbraak, metalen bestemd voor recyclage en metalen bestemd voor rechtstreeks hergebruik kan de vrijgave gebeuren op grond van de radionuclidespecifieke oppervlaktevrijgave niveaus opgenomen in de bijlagen 1 tot en met 4 of op grond van de volgende niet-radionuclidespecifieke oppervlakte vrijgaveniveaus:</w:t>
            </w:r>
          </w:p>
          <w:tbl>
            <w:tblPr>
              <w:tblW w:w="0" w:type="auto"/>
              <w:tblCellSpacing w:w="0" w:type="dxa"/>
              <w:tblBorders>
                <w:top w:val="none"/>
                <w:left w:val="none"/>
                <w:bottom w:val="none"/>
                <w:right w:val="none"/>
                <w:insideH w:val="none"/>
                <w:insideV w:val="none"/>
              </w:tblBorders>
            </w:tblPr>
            <w:tblGrid>
              <w:gridCol w:w="3762"/>
              <w:gridCol w:w="4598"/>
            </w:tblGrid>
            <w:tr>
              <w:trPr>
                <w:trHeight w:val="345" w:hRule="atLeast"/>
              </w:trPr>
              <w:tc>
                <w:tcPr>
                  <w:tcW w:w="3762"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bottom"/>
                </w:tcPr>
                <w:p>
                  <w:pPr>
                    <w:spacing w:before="0" w:after="0"/>
                    <w:ind w:left="75"/>
                    <w:jc w:val="left"/>
                  </w:pPr>
                  <w:r>
                    <w:rPr>
                      <w:rFonts w:ascii="Arial" w:hAnsi="Arial"/>
                      <w:b/>
                      <w:i w:val="false"/>
                      <w:color w:val="333333"/>
                      <w:sz w:val="18"/>
                    </w:rPr>
                    <w:t>Type</w:t>
                  </w:r>
                </w:p>
              </w:tc>
              <w:tc>
                <w:tcPr>
                  <w:tcW w:w="4598" w:type="dxa"/>
                  <w:tcBorders>
                    <w:top w:val="single" w:color="000000" w:sz="8"/>
                    <w:bottom w:val="single" w:color="000000" w:sz="8"/>
                    <w:right w:val="single" w:color="000000" w:sz="8"/>
                  </w:tcBorders>
                  <w:tcMar>
                    <w:top w:w="30" w:type="dxa"/>
                    <w:left w:w="30" w:type="dxa"/>
                    <w:bottom w:w="30" w:type="dxa"/>
                    <w:right w:w="30" w:type="dxa"/>
                  </w:tcMar>
                  <w:vAlign w:val="bottom"/>
                </w:tcPr>
                <w:p>
                  <w:pPr>
                    <w:spacing w:before="0" w:after="0"/>
                    <w:ind w:left="75"/>
                    <w:jc w:val="left"/>
                  </w:pPr>
                  <w:r>
                    <w:rPr>
                      <w:rFonts w:ascii="Arial" w:hAnsi="Arial"/>
                      <w:b/>
                      <w:i w:val="false"/>
                      <w:color w:val="333333"/>
                      <w:sz w:val="18"/>
                    </w:rPr>
                    <w:t>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3762"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beta en gamma stralers</w:t>
                  </w:r>
                </w:p>
              </w:tc>
              <w:tc>
                <w:tcPr>
                  <w:tcW w:w="459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0,4</w:t>
                  </w:r>
                </w:p>
              </w:tc>
            </w:tr>
            <w:tr>
              <w:trPr>
                <w:trHeight w:val="270" w:hRule="atLeast"/>
              </w:trPr>
              <w:tc>
                <w:tcPr>
                  <w:tcW w:w="3762"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alfa stralers</w:t>
                  </w:r>
                </w:p>
              </w:tc>
              <w:tc>
                <w:tcPr>
                  <w:tcW w:w="459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0,04</w:t>
                  </w:r>
                </w:p>
              </w:tc>
            </w:tr>
          </w:tbl>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Voor andere materialen dan metalen bedoeld in paragraaf 2 kan de vrijgave gebeuren op grond van de radionuclide specifieke oppervlakte vrijgaveniveaus in bijlage 5 of op grond van de volgende niet-radionuclidespecifieke oppervlakte vrijgaveniveaus:</w:t>
            </w:r>
          </w:p>
          <w:tbl>
            <w:tblPr>
              <w:tblW w:w="0" w:type="auto"/>
              <w:tblCellSpacing w:w="0" w:type="dxa"/>
              <w:tblBorders>
                <w:top w:val="none"/>
                <w:left w:val="none"/>
                <w:bottom w:val="none"/>
                <w:right w:val="none"/>
                <w:insideH w:val="none"/>
                <w:insideV w:val="none"/>
              </w:tblBorders>
            </w:tblPr>
            <w:tblGrid>
              <w:gridCol w:w="3762"/>
              <w:gridCol w:w="4598"/>
            </w:tblGrid>
            <w:tr>
              <w:trPr>
                <w:trHeight w:val="345" w:hRule="atLeast"/>
              </w:trPr>
              <w:tc>
                <w:tcPr>
                  <w:tcW w:w="3762"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bottom"/>
                </w:tcPr>
                <w:p>
                  <w:pPr>
                    <w:spacing w:before="0" w:after="0"/>
                    <w:ind w:left="75"/>
                    <w:jc w:val="center"/>
                  </w:pPr>
                  <w:r>
                    <w:rPr>
                      <w:rFonts w:ascii="Arial" w:hAnsi="Arial"/>
                      <w:b/>
                      <w:i w:val="false"/>
                      <w:color w:val="333333"/>
                      <w:sz w:val="18"/>
                    </w:rPr>
                    <w:t>Type</w:t>
                  </w:r>
                </w:p>
              </w:tc>
              <w:tc>
                <w:tcPr>
                  <w:tcW w:w="4598" w:type="dxa"/>
                  <w:tcBorders>
                    <w:top w:val="single" w:color="000000" w:sz="8"/>
                    <w:bottom w:val="single" w:color="000000" w:sz="8"/>
                    <w:right w:val="single" w:color="000000" w:sz="8"/>
                  </w:tcBorders>
                  <w:tcMar>
                    <w:top w:w="30" w:type="dxa"/>
                    <w:left w:w="30" w:type="dxa"/>
                    <w:bottom w:w="30" w:type="dxa"/>
                    <w:right w:w="30" w:type="dxa"/>
                  </w:tcMar>
                  <w:vAlign w:val="bottom"/>
                </w:tcPr>
                <w:p>
                  <w:pPr>
                    <w:spacing w:before="0" w:after="0"/>
                    <w:ind w:left="75"/>
                    <w:jc w:val="center"/>
                  </w:pPr>
                  <w:r>
                    <w:rPr>
                      <w:rFonts w:ascii="Arial" w:hAnsi="Arial"/>
                      <w:b/>
                      <w:i w:val="false"/>
                      <w:color w:val="333333"/>
                      <w:sz w:val="18"/>
                    </w:rPr>
                    <w:t>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3762"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beta en gamma stralers</w:t>
                  </w:r>
                </w:p>
              </w:tc>
              <w:tc>
                <w:tcPr>
                  <w:tcW w:w="4598"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0,4</w:t>
                  </w:r>
                </w:p>
              </w:tc>
            </w:tr>
            <w:tr>
              <w:trPr>
                <w:trHeight w:val="270" w:hRule="atLeast"/>
              </w:trPr>
              <w:tc>
                <w:tcPr>
                  <w:tcW w:w="3762"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alfa stralers</w:t>
                  </w:r>
                </w:p>
              </w:tc>
              <w:tc>
                <w:tcPr>
                  <w:tcW w:w="4598"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0,04</w:t>
                  </w:r>
                </w:p>
              </w:tc>
            </w:tr>
          </w:tbl>
          <w:p/>
        </w:tc>
      </w:tr>
      <w:tr>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1 Niveaux de libération surfacique pour la réutilisation ou la démolition de bâtiments</w:t>
            </w:r>
          </w:p>
          <w:p>
            <w:pPr>
              <w:spacing w:before="60" w:after="60"/>
              <w:ind w:left="45"/>
              <w:jc w:val="left"/>
            </w:pPr>
            <w:r>
              <w:rPr>
                <w:rFonts w:ascii="Arial" w:hAnsi="Arial"/>
                <w:b w:val="false"/>
                <w:i w:val="false"/>
                <w:color w:val="333333"/>
                <w:sz w:val="18"/>
              </w:rPr>
              <w:t>Les niveaux de libération surfacique ci-dessous sont repris de la dernière colonne du tableau 1 du document “Radiation Protection 113 – Recommended radiological protection criteria for the clearance of buildings and building rubble from the dismantling of nuclear installations, European Commission, 2000” - § 3.1 Clearance criteria for the reuse (or demolition) of buildings. La liste des nucléides filles en équilibre radioactif séculaire pris en compte est donnée en annexe 6 tableau 1.</w:t>
            </w:r>
          </w:p>
          <w:tbl>
            <w:tblPr>
              <w:tblW w:w="0" w:type="auto"/>
              <w:tblCellSpacing w:w="0" w:type="dxa"/>
              <w:tblBorders>
                <w:top w:val="none"/>
                <w:left w:val="none"/>
                <w:bottom w:val="none"/>
                <w:right w:val="none"/>
                <w:insideH w:val="none"/>
                <w:insideV w:val="none"/>
              </w:tblBorders>
            </w:tblPr>
            <w:tblGrid>
              <w:gridCol w:w="1627"/>
              <w:gridCol w:w="1861"/>
              <w:gridCol w:w="1607"/>
              <w:gridCol w:w="1861"/>
              <w:gridCol w:w="1607"/>
              <w:gridCol w:w="1861"/>
            </w:tblGrid>
            <w:tr>
              <w:trPr>
                <w:trHeight w:val="1140" w:hRule="atLeast"/>
              </w:trPr>
              <w:tc>
                <w:tcPr>
                  <w:tcW w:w="162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315"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xml:space="preserve">0,1 </w:t>
                  </w:r>
                  <w:r>
                    <w:rPr>
                      <w:rFonts w:ascii="Arial" w:hAnsi="Arial"/>
                      <w:b w:val="false"/>
                      <w:i w:val="false"/>
                      <w:color w:val="333333"/>
                      <w:sz w:val="22"/>
                      <w:vertAlign w:val="superscript"/>
                    </w:rPr>
                    <w:t>(*)</w:t>
                  </w:r>
                  <w:r>
                    <w:rPr>
                      <w:rFonts w:ascii="Arial" w:hAnsi="Arial"/>
                      <w:b w:val="false"/>
                      <w:i w:val="false"/>
                      <w:color w:val="333333"/>
                      <w:sz w:val="18"/>
                    </w:rPr>
                    <w:t xml:space="preserve"> </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Na-22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Cl-36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Ni-63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Zn-65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tbl>
            <w:tblPr>
              <w:tblW w:w="0" w:type="auto"/>
              <w:tblCellSpacing w:w="0" w:type="dxa"/>
              <w:tblBorders>
                <w:top w:val="none"/>
                <w:left w:val="none"/>
                <w:bottom w:val="none"/>
                <w:right w:val="none"/>
                <w:insideH w:val="none"/>
                <w:insideV w:val="none"/>
              </w:tblBorders>
            </w:tblPr>
            <w:tblGrid>
              <w:gridCol w:w="1260"/>
              <w:gridCol w:w="11340"/>
            </w:tblGrid>
            <w:tr>
              <w:trPr>
                <w:trHeight w:val="690" w:hRule="atLeast"/>
              </w:trPr>
              <w:tc>
                <w:tcPr>
                  <w:tcW w:w="1260" w:type="dxa"/>
                  <w:tcBorders/>
                  <w:tcMar>
                    <w:top w:w="60" w:type="dxa"/>
                    <w:left w:w="60" w:type="dxa"/>
                    <w:bottom w:w="60" w:type="dxa"/>
                    <w:right w:w="60" w:type="dxa"/>
                  </w:tcMar>
                  <w:vAlign w:val="top"/>
                </w:tcPr>
                <w:p>
                  <w:pPr>
                    <w:spacing w:before="0" w:after="0"/>
                    <w:ind w:left="0"/>
                    <w:jc w:val="left"/>
                  </w:pPr>
                  <w:r>
                    <w:rPr>
                      <w:rFonts w:ascii="Arial" w:hAnsi="Arial"/>
                      <w:b w:val="false"/>
                      <w:i w:val="false"/>
                      <w:color w:val="333333"/>
                    </w:rPr>
                    <w:t xml:space="preserve"> </w:t>
                  </w:r>
                  <w:r>
                    <w:rPr>
                      <w:rFonts w:ascii="Arial" w:hAnsi="Arial"/>
                      <w:b w:val="false"/>
                      <w:i w:val="false"/>
                      <w:color w:val="333333"/>
                      <w:sz w:val="22"/>
                      <w:vertAlign w:val="superscript"/>
                    </w:rPr>
                    <w:t>(*)</w:t>
                  </w:r>
                  <w:r>
                    <w:rPr>
                      <w:rFonts w:ascii="Arial" w:hAnsi="Arial"/>
                      <w:b w:val="false"/>
                      <w:i w:val="false"/>
                      <w:color w:val="333333"/>
                    </w:rPr>
                    <w:t xml:space="preserve"> </w:t>
                  </w:r>
                </w:p>
              </w:tc>
              <w:tc>
                <w:tcPr>
                  <w:tcW w:w="11340" w:type="dxa"/>
                  <w:tcBorders/>
                  <w:tcMar>
                    <w:top w:w="60" w:type="dxa"/>
                    <w:left w:w="60" w:type="dxa"/>
                    <w:bottom w:w="60" w:type="dxa"/>
                    <w:right w:w="60" w:type="dxa"/>
                  </w:tcMar>
                  <w:vAlign w:val="center"/>
                </w:tcPr>
                <w:p>
                  <w:pPr>
                    <w:spacing w:before="60" w:after="60"/>
                    <w:ind w:left="105"/>
                    <w:jc w:val="left"/>
                  </w:pPr>
                  <w:r>
                    <w:rPr>
                      <w:rFonts w:ascii="Arial" w:hAnsi="Arial"/>
                      <w:b w:val="false"/>
                      <w:i w:val="false"/>
                      <w:color w:val="333333"/>
                      <w:sz w:val="18"/>
                    </w:rPr>
                    <w:t>Si le Pa231 représente plus de 10 % de la règle de sommation, le niveau de 0.013 Bq/cm</w:t>
                  </w:r>
                  <w:r>
                    <w:rPr>
                      <w:rFonts w:ascii="Arial" w:hAnsi="Arial"/>
                      <w:b w:val="false"/>
                      <w:i w:val="false"/>
                      <w:color w:val="333333"/>
                      <w:sz w:val="18"/>
                      <w:vertAlign w:val="superscript"/>
                    </w:rPr>
                    <w:t>2</w:t>
                  </w:r>
                  <w:r>
                    <w:rPr>
                      <w:rFonts w:ascii="Arial" w:hAnsi="Arial"/>
                      <w:b w:val="false"/>
                      <w:i w:val="false"/>
                      <w:color w:val="333333"/>
                      <w:sz w:val="18"/>
                    </w:rPr>
                    <w:t xml:space="preserve"> doit être utilisé.</w:t>
                  </w:r>
                </w:p>
              </w:tc>
            </w:tr>
          </w:tbl>
          <w:p/>
          <w:p>
            <w:pPr>
              <w:spacing w:before="60" w:after="60"/>
              <w:ind w:left="45"/>
              <w:jc w:val="left"/>
            </w:pPr>
            <w:r>
              <w:rPr>
                <w:rFonts w:ascii="Arial" w:hAnsi="Arial"/>
                <w:b w:val="false"/>
                <w:i w:val="false"/>
                <w:color w:val="333333"/>
                <w:sz w:val="18"/>
              </w:rPr>
              <w:t>En cas de présence de plusieurs radionuclides, la règle de sommation suivante est d'application: ∑</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 i</w:t>
            </w:r>
            <w:r>
              <w:rPr>
                <w:rFonts w:ascii="Arial" w:hAnsi="Arial"/>
                <w:b w:val="false"/>
                <w:i w:val="false"/>
                <w:color w:val="333333"/>
                <w:sz w:val="18"/>
              </w:rPr>
              <w:t xml:space="preserve"> ≤ 1 où C</w:t>
            </w:r>
            <w:r>
              <w:rPr>
                <w:rFonts w:ascii="Arial" w:hAnsi="Arial"/>
                <w:b w:val="false"/>
                <w:i w:val="false"/>
                <w:color w:val="333333"/>
                <w:sz w:val="18"/>
                <w:vertAlign w:val="subscript"/>
              </w:rPr>
              <w:t>i</w:t>
            </w:r>
            <w:r>
              <w:rPr>
                <w:rFonts w:ascii="Arial" w:hAnsi="Arial"/>
                <w:b w:val="false"/>
                <w:i w:val="false"/>
                <w:color w:val="333333"/>
                <w:sz w:val="18"/>
              </w:rPr>
              <w:t xml:space="preserve"> est la contamination surfacique exprimée en Bq/cm</w:t>
            </w:r>
            <w:r>
              <w:rPr>
                <w:rFonts w:ascii="Arial" w:hAnsi="Arial"/>
                <w:b w:val="false"/>
                <w:i w:val="false"/>
                <w:color w:val="333333"/>
                <w:sz w:val="18"/>
                <w:vertAlign w:val="superscript"/>
              </w:rPr>
              <w:t>2</w:t>
            </w:r>
            <w:r>
              <w:rPr>
                <w:rFonts w:ascii="Arial" w:hAnsi="Arial"/>
                <w:b w:val="false"/>
                <w:i w:val="false"/>
                <w:color w:val="333333"/>
                <w:sz w:val="18"/>
              </w:rPr>
              <w:t xml:space="preserve"> et C</w:t>
            </w:r>
            <w:r>
              <w:rPr>
                <w:rFonts w:ascii="Arial" w:hAnsi="Arial"/>
                <w:b w:val="false"/>
                <w:i w:val="false"/>
                <w:color w:val="333333"/>
                <w:sz w:val="18"/>
                <w:vertAlign w:val="subscript"/>
              </w:rPr>
              <w:t>Li</w:t>
            </w:r>
            <w:r>
              <w:rPr>
                <w:rFonts w:ascii="Arial" w:hAnsi="Arial"/>
                <w:b w:val="false"/>
                <w:i w:val="false"/>
                <w:color w:val="333333"/>
                <w:sz w:val="18"/>
              </w:rPr>
              <w:t xml:space="preserve"> le niveau de libération correspondant exprimé en Bq/cm</w:t>
            </w:r>
            <w:r>
              <w:rPr>
                <w:rFonts w:ascii="Arial" w:hAnsi="Arial"/>
                <w:b w:val="false"/>
                <w:i w:val="false"/>
                <w:color w:val="333333"/>
                <w:sz w:val="18"/>
                <w:vertAlign w:val="superscript"/>
              </w:rPr>
              <w:t>2</w:t>
            </w:r>
            <w:r>
              <w:rPr>
                <w:rFonts w:ascii="Arial" w:hAnsi="Arial"/>
                <w:b w:val="false"/>
                <w:i w:val="false"/>
                <w:color w:val="333333"/>
                <w:sz w:val="18"/>
              </w:rPr>
              <w:t>.</w:t>
            </w:r>
          </w:p>
        </w:tc>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1 Oppervlakte vrijgaveniveaus voor het hergebruik of de afbraak van gebouwen</w:t>
            </w:r>
          </w:p>
          <w:p>
            <w:pPr>
              <w:spacing w:before="60" w:after="60"/>
              <w:ind w:left="45"/>
              <w:jc w:val="left"/>
            </w:pPr>
            <w:r>
              <w:rPr>
                <w:rFonts w:ascii="Arial" w:hAnsi="Arial"/>
                <w:b w:val="false"/>
                <w:i w:val="false"/>
                <w:color w:val="333333"/>
                <w:sz w:val="18"/>
              </w:rPr>
              <w:t>De onderstaande oppervlakte vrijgaveniveaus zijn overgenomen uit de laatste kolom van tabel 1 van het document “Radiation Protection 113 – Recommended radiological protection criteria for the clearance of buildings and building rubble from the dismantling of nuclear installations, European Commission, 2000” - § 3.1 Clearance criteria for the reuse (or demolition) of buildings. De lijst met de in seculair evenwicht inbegrepen dochter nuclides is gegeven in bijlage 6 tabel 1.</w:t>
            </w:r>
          </w:p>
          <w:tbl>
            <w:tblPr>
              <w:tblW w:w="0" w:type="auto"/>
              <w:tblCellSpacing w:w="0" w:type="dxa"/>
              <w:tblBorders>
                <w:top w:val="none"/>
                <w:left w:val="none"/>
                <w:bottom w:val="none"/>
                <w:right w:val="none"/>
                <w:insideH w:val="none"/>
                <w:insideV w:val="none"/>
              </w:tblBorders>
            </w:tblPr>
            <w:tblGrid>
              <w:gridCol w:w="1627"/>
              <w:gridCol w:w="1861"/>
              <w:gridCol w:w="1607"/>
              <w:gridCol w:w="1861"/>
              <w:gridCol w:w="1607"/>
              <w:gridCol w:w="1861"/>
            </w:tblGrid>
            <w:tr>
              <w:trPr>
                <w:trHeight w:val="1140" w:hRule="atLeast"/>
              </w:trPr>
              <w:tc>
                <w:tcPr>
                  <w:tcW w:w="162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315"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xml:space="preserve">0,1 </w:t>
                  </w:r>
                  <w:r>
                    <w:rPr>
                      <w:rFonts w:ascii="Arial" w:hAnsi="Arial"/>
                      <w:b w:val="false"/>
                      <w:i w:val="false"/>
                      <w:color w:val="333333"/>
                      <w:sz w:val="22"/>
                      <w:vertAlign w:val="superscript"/>
                    </w:rPr>
                    <w:t>(*)</w:t>
                  </w:r>
                  <w:r>
                    <w:rPr>
                      <w:rFonts w:ascii="Arial" w:hAnsi="Arial"/>
                      <w:b w:val="false"/>
                      <w:i w:val="false"/>
                      <w:color w:val="333333"/>
                      <w:sz w:val="18"/>
                    </w:rPr>
                    <w:t xml:space="preserve"> </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Na-22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Cl-36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Ni-63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Zn-65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tbl>
            <w:tblPr>
              <w:tblW w:w="0" w:type="auto"/>
              <w:tblCellSpacing w:w="0" w:type="dxa"/>
              <w:tblBorders>
                <w:top w:val="none"/>
                <w:left w:val="none"/>
                <w:bottom w:val="none"/>
                <w:right w:val="none"/>
                <w:insideH w:val="none"/>
                <w:insideV w:val="none"/>
              </w:tblBorders>
            </w:tblPr>
            <w:tblGrid>
              <w:gridCol w:w="1260"/>
              <w:gridCol w:w="11340"/>
            </w:tblGrid>
            <w:tr>
              <w:trPr>
                <w:trHeight w:val="480" w:hRule="atLeast"/>
              </w:trPr>
              <w:tc>
                <w:tcPr>
                  <w:tcW w:w="1260" w:type="dxa"/>
                  <w:tcBorders/>
                  <w:tcMar>
                    <w:top w:w="60" w:type="dxa"/>
                    <w:left w:w="60" w:type="dxa"/>
                    <w:bottom w:w="60" w:type="dxa"/>
                    <w:right w:w="60" w:type="dxa"/>
                  </w:tcMar>
                  <w:vAlign w:val="top"/>
                </w:tcPr>
                <w:p>
                  <w:pPr>
                    <w:spacing w:before="0" w:after="0"/>
                    <w:ind w:left="0"/>
                    <w:jc w:val="left"/>
                  </w:pPr>
                  <w:r>
                    <w:rPr>
                      <w:rFonts w:ascii="Arial" w:hAnsi="Arial"/>
                      <w:b w:val="false"/>
                      <w:i w:val="false"/>
                      <w:color w:val="333333"/>
                    </w:rPr>
                    <w:t xml:space="preserve"> </w:t>
                  </w:r>
                  <w:r>
                    <w:rPr>
                      <w:rFonts w:ascii="Arial" w:hAnsi="Arial"/>
                      <w:b w:val="false"/>
                      <w:i w:val="false"/>
                      <w:color w:val="333333"/>
                      <w:sz w:val="22"/>
                      <w:vertAlign w:val="superscript"/>
                    </w:rPr>
                    <w:t>(*)</w:t>
                  </w:r>
                  <w:r>
                    <w:rPr>
                      <w:rFonts w:ascii="Arial" w:hAnsi="Arial"/>
                      <w:b w:val="false"/>
                      <w:i w:val="false"/>
                      <w:color w:val="333333"/>
                    </w:rPr>
                    <w:t xml:space="preserve"> </w:t>
                  </w:r>
                </w:p>
              </w:tc>
              <w:tc>
                <w:tcPr>
                  <w:tcW w:w="11340" w:type="dxa"/>
                  <w:tcBorders/>
                  <w:tcMar>
                    <w:top w:w="60" w:type="dxa"/>
                    <w:left w:w="60" w:type="dxa"/>
                    <w:bottom w:w="60" w:type="dxa"/>
                    <w:right w:w="60" w:type="dxa"/>
                  </w:tcMar>
                  <w:vAlign w:val="center"/>
                </w:tcPr>
                <w:p>
                  <w:pPr>
                    <w:spacing w:before="60" w:after="60"/>
                    <w:ind w:left="105"/>
                    <w:jc w:val="left"/>
                  </w:pPr>
                  <w:r>
                    <w:rPr>
                      <w:rFonts w:ascii="Arial" w:hAnsi="Arial"/>
                      <w:b w:val="false"/>
                      <w:i w:val="false"/>
                      <w:color w:val="333333"/>
                      <w:sz w:val="18"/>
                    </w:rPr>
                    <w:t>Als Pa231 meer dan 10 % van de somregel uitmaakt moet het niveau 0.013 Bq/cm</w:t>
                  </w:r>
                  <w:r>
                    <w:rPr>
                      <w:rFonts w:ascii="Arial" w:hAnsi="Arial"/>
                      <w:b w:val="false"/>
                      <w:i w:val="false"/>
                      <w:color w:val="333333"/>
                      <w:sz w:val="18"/>
                      <w:vertAlign w:val="superscript"/>
                    </w:rPr>
                    <w:t>2</w:t>
                  </w:r>
                  <w:r>
                    <w:rPr>
                      <w:rFonts w:ascii="Arial" w:hAnsi="Arial"/>
                      <w:b w:val="false"/>
                      <w:i w:val="false"/>
                      <w:color w:val="333333"/>
                      <w:sz w:val="18"/>
                    </w:rPr>
                    <w:t xml:space="preserve"> gebruikt worden.</w:t>
                  </w:r>
                </w:p>
              </w:tc>
            </w:tr>
          </w:tbl>
          <w:p/>
          <w:p>
            <w:pPr>
              <w:spacing w:before="60" w:after="60"/>
              <w:ind w:left="45"/>
              <w:jc w:val="left"/>
            </w:pPr>
            <w:r>
              <w:rPr>
                <w:rFonts w:ascii="Arial" w:hAnsi="Arial"/>
                <w:b w:val="false"/>
                <w:i w:val="false"/>
                <w:color w:val="333333"/>
                <w:sz w:val="18"/>
              </w:rPr>
              <w:t>In geval van aanwezigheid van meerdere radionucliden, is de volgende somregel van toepassing: ∑</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 i</w:t>
            </w:r>
            <w:r>
              <w:rPr>
                <w:rFonts w:ascii="Arial" w:hAnsi="Arial"/>
                <w:b w:val="false"/>
                <w:i w:val="false"/>
                <w:color w:val="333333"/>
                <w:sz w:val="18"/>
              </w:rPr>
              <w:t xml:space="preserve"> ≤ 1 met C</w:t>
            </w:r>
            <w:r>
              <w:rPr>
                <w:rFonts w:ascii="Arial" w:hAnsi="Arial"/>
                <w:b w:val="false"/>
                <w:i w:val="false"/>
                <w:color w:val="333333"/>
                <w:sz w:val="18"/>
                <w:vertAlign w:val="subscript"/>
              </w:rPr>
              <w:t>i</w:t>
            </w:r>
            <w:r>
              <w:rPr>
                <w:rFonts w:ascii="Arial" w:hAnsi="Arial"/>
                <w:b w:val="false"/>
                <w:i w:val="false"/>
                <w:color w:val="333333"/>
                <w:sz w:val="18"/>
              </w:rPr>
              <w:t xml:space="preserve"> de oppervlakte besmetting in Bq/cm</w:t>
            </w:r>
            <w:r>
              <w:rPr>
                <w:rFonts w:ascii="Arial" w:hAnsi="Arial"/>
                <w:b w:val="false"/>
                <w:i w:val="false"/>
                <w:color w:val="333333"/>
                <w:sz w:val="18"/>
                <w:vertAlign w:val="superscript"/>
              </w:rPr>
              <w:t>2</w:t>
            </w:r>
            <w:r>
              <w:rPr>
                <w:rFonts w:ascii="Arial" w:hAnsi="Arial"/>
                <w:b w:val="false"/>
                <w:i w:val="false"/>
                <w:color w:val="333333"/>
                <w:sz w:val="18"/>
              </w:rPr>
              <w:t xml:space="preserve"> en C</w:t>
            </w:r>
            <w:r>
              <w:rPr>
                <w:rFonts w:ascii="Arial" w:hAnsi="Arial"/>
                <w:b w:val="false"/>
                <w:i w:val="false"/>
                <w:color w:val="333333"/>
                <w:sz w:val="18"/>
                <w:vertAlign w:val="subscript"/>
              </w:rPr>
              <w:t>Li</w:t>
            </w:r>
            <w:r>
              <w:rPr>
                <w:rFonts w:ascii="Arial" w:hAnsi="Arial"/>
                <w:b w:val="false"/>
                <w:i w:val="false"/>
                <w:color w:val="333333"/>
                <w:sz w:val="18"/>
              </w:rPr>
              <w:t xml:space="preserve"> het overeenkomstige vrijgaveniveau in Bq/cm</w:t>
            </w:r>
            <w:r>
              <w:rPr>
                <w:rFonts w:ascii="Arial" w:hAnsi="Arial"/>
                <w:b w:val="false"/>
                <w:i w:val="false"/>
                <w:color w:val="333333"/>
                <w:sz w:val="18"/>
                <w:vertAlign w:val="superscript"/>
              </w:rPr>
              <w:t>2</w:t>
            </w:r>
            <w:r>
              <w:rPr>
                <w:rFonts w:ascii="Arial" w:hAnsi="Arial"/>
                <w:b w:val="false"/>
                <w:i w:val="false"/>
                <w:color w:val="333333"/>
                <w:sz w:val="18"/>
              </w:rPr>
              <w:t>.</w:t>
            </w:r>
          </w:p>
        </w:tc>
      </w:tr>
      <w:tr>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2 Niveaux de libération surfacique pour les bâtiments destinés uniquement à la démolition</w:t>
            </w:r>
          </w:p>
          <w:p>
            <w:pPr>
              <w:spacing w:before="60" w:after="60"/>
              <w:ind w:left="45"/>
              <w:jc w:val="left"/>
            </w:pPr>
            <w:r>
              <w:rPr>
                <w:rFonts w:ascii="Arial" w:hAnsi="Arial"/>
                <w:b w:val="false"/>
                <w:i w:val="false"/>
                <w:color w:val="333333"/>
                <w:sz w:val="18"/>
              </w:rPr>
              <w:t>Les niveaux de libération surfacique ci-dessous sont repris de la dernière colonne du tableau 2 du document “Radiation Protection 113 – Recommended radiological protection criteria for the clearance of buildings and building rubble from the dismantling of nuclear installations, European Commission, 2000” - § 3.2 Clearance of buildings for demolition only. La liste des nucléides filles en équilibre radioactif séculaire pris en compte est donnée en annexe 6 tableau 1.</w:t>
            </w:r>
          </w:p>
          <w:tbl>
            <w:tblPr>
              <w:tblW w:w="0" w:type="auto"/>
              <w:tblCellSpacing w:w="0" w:type="dxa"/>
              <w:tblBorders>
                <w:top w:val="none"/>
                <w:left w:val="none"/>
                <w:bottom w:val="none"/>
                <w:right w:val="none"/>
                <w:insideH w:val="none"/>
                <w:insideV w:val="none"/>
              </w:tblBorders>
            </w:tblPr>
            <w:tblGrid>
              <w:gridCol w:w="1627"/>
              <w:gridCol w:w="1861"/>
              <w:gridCol w:w="1607"/>
              <w:gridCol w:w="1861"/>
              <w:gridCol w:w="1607"/>
              <w:gridCol w:w="1861"/>
            </w:tblGrid>
            <w:tr>
              <w:trPr>
                <w:trHeight w:val="1725" w:hRule="atLeast"/>
              </w:trPr>
              <w:tc>
                <w:tcPr>
                  <w:tcW w:w="162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Na-22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Cl-36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Ni-63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Zn-65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p>
            <w:pPr>
              <w:spacing w:before="60" w:after="60"/>
              <w:ind w:left="45"/>
              <w:jc w:val="left"/>
            </w:pPr>
            <w:r>
              <w:rPr>
                <w:rFonts w:ascii="Arial" w:hAnsi="Arial"/>
                <w:b w:val="false"/>
                <w:i w:val="false"/>
                <w:color w:val="333333"/>
                <w:sz w:val="18"/>
              </w:rPr>
              <w:t>En cas de présence de plusieurs radionuclides, la règle de sommation suivante est d'application: ∑</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 i</w:t>
            </w:r>
            <w:r>
              <w:rPr>
                <w:rFonts w:ascii="Arial" w:hAnsi="Arial"/>
                <w:b w:val="false"/>
                <w:i w:val="false"/>
                <w:color w:val="333333"/>
                <w:sz w:val="18"/>
              </w:rPr>
              <w:t xml:space="preserve"> ≤ 1 où C</w:t>
            </w:r>
            <w:r>
              <w:rPr>
                <w:rFonts w:ascii="Arial" w:hAnsi="Arial"/>
                <w:b w:val="false"/>
                <w:i w:val="false"/>
                <w:color w:val="333333"/>
                <w:sz w:val="18"/>
                <w:vertAlign w:val="subscript"/>
              </w:rPr>
              <w:t>i</w:t>
            </w:r>
            <w:r>
              <w:rPr>
                <w:rFonts w:ascii="Arial" w:hAnsi="Arial"/>
                <w:b w:val="false"/>
                <w:i w:val="false"/>
                <w:color w:val="333333"/>
                <w:sz w:val="18"/>
              </w:rPr>
              <w:t xml:space="preserve"> est la contamination surfacique exprimée en Bq/cm</w:t>
            </w:r>
            <w:r>
              <w:rPr>
                <w:rFonts w:ascii="Arial" w:hAnsi="Arial"/>
                <w:b w:val="false"/>
                <w:i w:val="false"/>
                <w:color w:val="333333"/>
                <w:sz w:val="18"/>
                <w:vertAlign w:val="superscript"/>
              </w:rPr>
              <w:t>2</w:t>
            </w:r>
            <w:r>
              <w:rPr>
                <w:rFonts w:ascii="Arial" w:hAnsi="Arial"/>
                <w:b w:val="false"/>
                <w:i w:val="false"/>
                <w:color w:val="333333"/>
                <w:sz w:val="18"/>
              </w:rPr>
              <w:t xml:space="preserve"> et C</w:t>
            </w:r>
            <w:r>
              <w:rPr>
                <w:rFonts w:ascii="Arial" w:hAnsi="Arial"/>
                <w:b w:val="false"/>
                <w:i w:val="false"/>
                <w:color w:val="333333"/>
                <w:sz w:val="18"/>
                <w:vertAlign w:val="subscript"/>
              </w:rPr>
              <w:t>Li</w:t>
            </w:r>
            <w:r>
              <w:rPr>
                <w:rFonts w:ascii="Arial" w:hAnsi="Arial"/>
                <w:b w:val="false"/>
                <w:i w:val="false"/>
                <w:color w:val="333333"/>
                <w:sz w:val="18"/>
              </w:rPr>
              <w:t xml:space="preserve"> le niveau de libération correspondant expriméen Bq/cm</w:t>
            </w:r>
            <w:r>
              <w:rPr>
                <w:rFonts w:ascii="Arial" w:hAnsi="Arial"/>
                <w:b w:val="false"/>
                <w:i w:val="false"/>
                <w:color w:val="333333"/>
                <w:sz w:val="18"/>
                <w:vertAlign w:val="superscript"/>
              </w:rPr>
              <w:t>2</w:t>
            </w:r>
            <w:r>
              <w:rPr>
                <w:rFonts w:ascii="Arial" w:hAnsi="Arial"/>
                <w:b w:val="false"/>
                <w:i w:val="false"/>
                <w:color w:val="333333"/>
                <w:sz w:val="18"/>
              </w:rPr>
              <w:t>.</w:t>
            </w:r>
          </w:p>
        </w:tc>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2 Oppervlakte vrijgaveniveaus voor gebouwen louter bestemd voor afbraak</w:t>
            </w:r>
          </w:p>
          <w:p>
            <w:pPr>
              <w:spacing w:before="60" w:after="60"/>
              <w:ind w:left="45"/>
              <w:jc w:val="left"/>
            </w:pPr>
            <w:r>
              <w:rPr>
                <w:rFonts w:ascii="Arial" w:hAnsi="Arial"/>
                <w:b w:val="false"/>
                <w:i w:val="false"/>
                <w:color w:val="333333"/>
                <w:sz w:val="18"/>
              </w:rPr>
              <w:t>De onderstaande oppervlakte vrijgaveniveaus worden overgenomen uit de laatste kolom van tabel 2 van het document “Radiation Protection 113 – Recommended radiological protection criteria for the clearance of buildings and building rubble from the dismantling of nuclear installations, European Commission, 2000” - § 3.2 Clearance of buildings for demolition only. De lijst met de in seculair evenwicht inbegrepen dochter nuclides is gegeven in bijlage 6 tabel 1.</w:t>
            </w:r>
          </w:p>
          <w:tbl>
            <w:tblPr>
              <w:tblW w:w="0" w:type="auto"/>
              <w:tblCellSpacing w:w="0" w:type="dxa"/>
              <w:tblBorders>
                <w:top w:val="none"/>
                <w:left w:val="none"/>
                <w:bottom w:val="none"/>
                <w:right w:val="none"/>
                <w:insideH w:val="none"/>
                <w:insideV w:val="none"/>
              </w:tblBorders>
            </w:tblPr>
            <w:tblGrid>
              <w:gridCol w:w="1627"/>
              <w:gridCol w:w="1861"/>
              <w:gridCol w:w="1607"/>
              <w:gridCol w:w="1861"/>
              <w:gridCol w:w="1607"/>
              <w:gridCol w:w="1861"/>
            </w:tblGrid>
            <w:tr>
              <w:trPr>
                <w:trHeight w:val="1725" w:hRule="atLeast"/>
              </w:trPr>
              <w:tc>
                <w:tcPr>
                  <w:tcW w:w="162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Na-22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Cl-36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Ni-63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Zn-65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p>
            <w:pPr>
              <w:spacing w:before="60" w:after="60"/>
              <w:ind w:left="45"/>
              <w:jc w:val="left"/>
            </w:pPr>
            <w:r>
              <w:rPr>
                <w:rFonts w:ascii="Arial" w:hAnsi="Arial"/>
                <w:b w:val="false"/>
                <w:i w:val="false"/>
                <w:color w:val="333333"/>
                <w:sz w:val="18"/>
              </w:rPr>
              <w:t>In geval van aanwezigheid van meerdere radionucliden, is de volgende somregel van toepassing: ∑</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 i</w:t>
            </w:r>
            <w:r>
              <w:rPr>
                <w:rFonts w:ascii="Arial" w:hAnsi="Arial"/>
                <w:b w:val="false"/>
                <w:i w:val="false"/>
                <w:color w:val="333333"/>
                <w:sz w:val="18"/>
              </w:rPr>
              <w:t xml:space="preserve"> ≤ 1 met C</w:t>
            </w:r>
            <w:r>
              <w:rPr>
                <w:rFonts w:ascii="Arial" w:hAnsi="Arial"/>
                <w:b w:val="false"/>
                <w:i w:val="false"/>
                <w:color w:val="333333"/>
                <w:sz w:val="18"/>
                <w:vertAlign w:val="subscript"/>
              </w:rPr>
              <w:t>i</w:t>
            </w:r>
            <w:r>
              <w:rPr>
                <w:rFonts w:ascii="Arial" w:hAnsi="Arial"/>
                <w:b w:val="false"/>
                <w:i w:val="false"/>
                <w:color w:val="333333"/>
                <w:sz w:val="18"/>
              </w:rPr>
              <w:t xml:space="preserve"> de oppervlakte besmetting in Bq/cm</w:t>
            </w:r>
            <w:r>
              <w:rPr>
                <w:rFonts w:ascii="Arial" w:hAnsi="Arial"/>
                <w:b w:val="false"/>
                <w:i w:val="false"/>
                <w:color w:val="333333"/>
                <w:sz w:val="18"/>
                <w:vertAlign w:val="superscript"/>
              </w:rPr>
              <w:t>2</w:t>
            </w:r>
            <w:r>
              <w:rPr>
                <w:rFonts w:ascii="Arial" w:hAnsi="Arial"/>
                <w:b w:val="false"/>
                <w:i w:val="false"/>
                <w:color w:val="333333"/>
                <w:sz w:val="18"/>
              </w:rPr>
              <w:t xml:space="preserve"> en C</w:t>
            </w:r>
            <w:r>
              <w:rPr>
                <w:rFonts w:ascii="Arial" w:hAnsi="Arial"/>
                <w:b w:val="false"/>
                <w:i w:val="false"/>
                <w:color w:val="333333"/>
                <w:sz w:val="18"/>
                <w:vertAlign w:val="subscript"/>
              </w:rPr>
              <w:t>Li</w:t>
            </w:r>
            <w:r>
              <w:rPr>
                <w:rFonts w:ascii="Arial" w:hAnsi="Arial"/>
                <w:b w:val="false"/>
                <w:i w:val="false"/>
                <w:color w:val="333333"/>
                <w:sz w:val="18"/>
              </w:rPr>
              <w:t xml:space="preserve"> het overeenkomstige vrijgaveniveau in Bq/cm</w:t>
            </w:r>
            <w:r>
              <w:rPr>
                <w:rFonts w:ascii="Arial" w:hAnsi="Arial"/>
                <w:b w:val="false"/>
                <w:i w:val="false"/>
                <w:color w:val="333333"/>
                <w:sz w:val="18"/>
                <w:vertAlign w:val="superscript"/>
              </w:rPr>
              <w:t>2</w:t>
            </w:r>
            <w:r>
              <w:rPr>
                <w:rFonts w:ascii="Arial" w:hAnsi="Arial"/>
                <w:b w:val="false"/>
                <w:i w:val="false"/>
                <w:color w:val="333333"/>
                <w:sz w:val="18"/>
              </w:rPr>
              <w:t>.</w:t>
            </w:r>
          </w:p>
        </w:tc>
      </w:tr>
      <w:tr>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3 Niveaux de libération surfacique pour les métaux destinés au recyclage</w:t>
            </w:r>
          </w:p>
          <w:p>
            <w:pPr>
              <w:spacing w:before="60" w:after="60"/>
              <w:ind w:left="45"/>
              <w:jc w:val="left"/>
            </w:pPr>
            <w:r>
              <w:rPr>
                <w:rFonts w:ascii="Arial" w:hAnsi="Arial"/>
                <w:b w:val="false"/>
                <w:i w:val="false"/>
                <w:color w:val="333333"/>
                <w:sz w:val="18"/>
              </w:rPr>
              <w:t>Les niveaux de libération surfacique ci-dessous sont repris du document “Radiation Protection 89 – Recommended radiological protection criteria for the recycling of metals from the dismantling of nuclear installations, European Commission, 1998” - § 3.1 Clearance criteria for metal scrap recycling. La liste des nucléides filles en équilibre radioactif séculaire pris en compte est donnée en annexe 6 tableau 1.</w:t>
            </w:r>
          </w:p>
          <w:tbl>
            <w:tblPr>
              <w:tblW w:w="0" w:type="auto"/>
              <w:tblCellSpacing w:w="0" w:type="dxa"/>
              <w:tblBorders>
                <w:top w:val="none"/>
                <w:left w:val="none"/>
                <w:bottom w:val="none"/>
                <w:right w:val="none"/>
                <w:insideH w:val="none"/>
                <w:insideV w:val="none"/>
              </w:tblBorders>
            </w:tblPr>
            <w:tblGrid>
              <w:gridCol w:w="1627"/>
              <w:gridCol w:w="1861"/>
              <w:gridCol w:w="1607"/>
              <w:gridCol w:w="1861"/>
              <w:gridCol w:w="1607"/>
              <w:gridCol w:w="1861"/>
            </w:tblGrid>
            <w:tr>
              <w:trPr>
                <w:trHeight w:val="990" w:hRule="atLeast"/>
              </w:trPr>
              <w:tc>
                <w:tcPr>
                  <w:tcW w:w="162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42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Na-22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CI-36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Ni-63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Zn-65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p>
            <w:pPr>
              <w:spacing w:before="60" w:after="60"/>
              <w:ind w:left="45"/>
              <w:jc w:val="left"/>
            </w:pPr>
            <w:r>
              <w:rPr>
                <w:rFonts w:ascii="Arial" w:hAnsi="Arial"/>
                <w:b w:val="false"/>
                <w:i w:val="false"/>
                <w:color w:val="333333"/>
                <w:sz w:val="18"/>
              </w:rPr>
              <w:t>En cas de présence de plusieurs radionuclides, la règle de sommation suivante est d'application: ∑</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 i</w:t>
            </w:r>
            <w:r>
              <w:rPr>
                <w:rFonts w:ascii="Arial" w:hAnsi="Arial"/>
                <w:b w:val="false"/>
                <w:i w:val="false"/>
                <w:color w:val="333333"/>
                <w:sz w:val="18"/>
              </w:rPr>
              <w:t xml:space="preserve"> ≤ 1 où C</w:t>
            </w:r>
            <w:r>
              <w:rPr>
                <w:rFonts w:ascii="Arial" w:hAnsi="Arial"/>
                <w:b w:val="false"/>
                <w:i w:val="false"/>
                <w:color w:val="333333"/>
                <w:sz w:val="18"/>
                <w:vertAlign w:val="subscript"/>
              </w:rPr>
              <w:t>i</w:t>
            </w:r>
            <w:r>
              <w:rPr>
                <w:rFonts w:ascii="Arial" w:hAnsi="Arial"/>
                <w:b w:val="false"/>
                <w:i w:val="false"/>
                <w:color w:val="333333"/>
                <w:sz w:val="18"/>
              </w:rPr>
              <w:t xml:space="preserve"> est la contamination surfacique exprimée en Bq/cm</w:t>
            </w:r>
            <w:r>
              <w:rPr>
                <w:rFonts w:ascii="Arial" w:hAnsi="Arial"/>
                <w:b w:val="false"/>
                <w:i w:val="false"/>
                <w:color w:val="333333"/>
                <w:sz w:val="18"/>
                <w:vertAlign w:val="superscript"/>
              </w:rPr>
              <w:t>2</w:t>
            </w:r>
            <w:r>
              <w:rPr>
                <w:rFonts w:ascii="Arial" w:hAnsi="Arial"/>
                <w:b w:val="false"/>
                <w:i w:val="false"/>
                <w:color w:val="333333"/>
                <w:sz w:val="18"/>
              </w:rPr>
              <w:t xml:space="preserve"> et C</w:t>
            </w:r>
            <w:r>
              <w:rPr>
                <w:rFonts w:ascii="Arial" w:hAnsi="Arial"/>
                <w:b w:val="false"/>
                <w:i w:val="false"/>
                <w:color w:val="333333"/>
                <w:sz w:val="18"/>
                <w:vertAlign w:val="subscript"/>
              </w:rPr>
              <w:t>Li</w:t>
            </w:r>
            <w:r>
              <w:rPr>
                <w:rFonts w:ascii="Arial" w:hAnsi="Arial"/>
                <w:b w:val="false"/>
                <w:i w:val="false"/>
                <w:color w:val="333333"/>
                <w:sz w:val="18"/>
              </w:rPr>
              <w:t xml:space="preserve"> le niveau de libération correspondant exprimé en Bq/cm</w:t>
            </w:r>
            <w:r>
              <w:rPr>
                <w:rFonts w:ascii="Arial" w:hAnsi="Arial"/>
                <w:b w:val="false"/>
                <w:i w:val="false"/>
                <w:color w:val="333333"/>
                <w:sz w:val="18"/>
                <w:vertAlign w:val="superscript"/>
              </w:rPr>
              <w:t>2</w:t>
            </w:r>
            <w:r>
              <w:rPr>
                <w:rFonts w:ascii="Arial" w:hAnsi="Arial"/>
                <w:b w:val="false"/>
                <w:i w:val="false"/>
                <w:color w:val="333333"/>
                <w:sz w:val="18"/>
              </w:rPr>
              <w:t>.</w:t>
            </w:r>
          </w:p>
        </w:tc>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3 Oppervlakte vrijgaveniveaus voor metalen bedoeld voor recyclage</w:t>
            </w:r>
          </w:p>
          <w:p>
            <w:pPr>
              <w:spacing w:before="60" w:after="60"/>
              <w:ind w:left="45"/>
              <w:jc w:val="left"/>
            </w:pPr>
            <w:r>
              <w:rPr>
                <w:rFonts w:ascii="Arial" w:hAnsi="Arial"/>
                <w:b w:val="false"/>
                <w:i w:val="false"/>
                <w:color w:val="333333"/>
                <w:sz w:val="18"/>
              </w:rPr>
              <w:t>De onderstaande oppervlakte vrijgaveniveaus worden overgenomen van het document “Radiation Protection 89 – Recommended radiological protection criteria for the recycling of metals from the dismantling of nuclear installations, European Commission, 1998” - § 3.1 Clearance criteria for metal scrap recycling. De lijst met de in seculair evenwicht inbegrepen dochter nuclides is gegeven in bijlage 6 tabel 1.</w:t>
            </w:r>
          </w:p>
          <w:tbl>
            <w:tblPr>
              <w:tblW w:w="0" w:type="auto"/>
              <w:tblCellSpacing w:w="0" w:type="dxa"/>
              <w:tblBorders>
                <w:top w:val="none"/>
                <w:left w:val="none"/>
                <w:bottom w:val="none"/>
                <w:right w:val="none"/>
                <w:insideH w:val="none"/>
                <w:insideV w:val="none"/>
              </w:tblBorders>
            </w:tblPr>
            <w:tblGrid>
              <w:gridCol w:w="1627"/>
              <w:gridCol w:w="1861"/>
              <w:gridCol w:w="1607"/>
              <w:gridCol w:w="1861"/>
              <w:gridCol w:w="1607"/>
              <w:gridCol w:w="1861"/>
            </w:tblGrid>
            <w:tr>
              <w:trPr>
                <w:trHeight w:val="990" w:hRule="atLeast"/>
              </w:trPr>
              <w:tc>
                <w:tcPr>
                  <w:tcW w:w="162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Na-22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435"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CI-36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Ni-63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Zn-65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p>
            <w:pPr>
              <w:spacing w:before="60" w:after="60"/>
              <w:ind w:left="45"/>
              <w:jc w:val="left"/>
            </w:pPr>
            <w:r>
              <w:rPr>
                <w:rFonts w:ascii="Arial" w:hAnsi="Arial"/>
                <w:b w:val="false"/>
                <w:i w:val="false"/>
                <w:color w:val="333333"/>
                <w:sz w:val="18"/>
              </w:rPr>
              <w:t>In geval van aanwezigheid van meerdere radionucliden, is de volgende somregel van toepassing: ∑</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 i</w:t>
            </w:r>
            <w:r>
              <w:rPr>
                <w:rFonts w:ascii="Arial" w:hAnsi="Arial"/>
                <w:b w:val="false"/>
                <w:i w:val="false"/>
                <w:color w:val="333333"/>
                <w:sz w:val="18"/>
              </w:rPr>
              <w:t xml:space="preserve"> ≤ 1 met C</w:t>
            </w:r>
            <w:r>
              <w:rPr>
                <w:rFonts w:ascii="Arial" w:hAnsi="Arial"/>
                <w:b w:val="false"/>
                <w:i w:val="false"/>
                <w:color w:val="333333"/>
                <w:sz w:val="18"/>
                <w:vertAlign w:val="subscript"/>
              </w:rPr>
              <w:t>i</w:t>
            </w:r>
            <w:r>
              <w:rPr>
                <w:rFonts w:ascii="Arial" w:hAnsi="Arial"/>
                <w:b w:val="false"/>
                <w:i w:val="false"/>
                <w:color w:val="333333"/>
                <w:sz w:val="18"/>
              </w:rPr>
              <w:t xml:space="preserve"> de oppervlakte besmetting in Bq/cm</w:t>
            </w:r>
            <w:r>
              <w:rPr>
                <w:rFonts w:ascii="Arial" w:hAnsi="Arial"/>
                <w:b w:val="false"/>
                <w:i w:val="false"/>
                <w:color w:val="333333"/>
                <w:sz w:val="18"/>
                <w:vertAlign w:val="superscript"/>
              </w:rPr>
              <w:t>2</w:t>
            </w:r>
            <w:r>
              <w:rPr>
                <w:rFonts w:ascii="Arial" w:hAnsi="Arial"/>
                <w:b w:val="false"/>
                <w:i w:val="false"/>
                <w:color w:val="333333"/>
                <w:sz w:val="18"/>
              </w:rPr>
              <w:t xml:space="preserve"> en C</w:t>
            </w:r>
            <w:r>
              <w:rPr>
                <w:rFonts w:ascii="Arial" w:hAnsi="Arial"/>
                <w:b w:val="false"/>
                <w:i w:val="false"/>
                <w:color w:val="333333"/>
                <w:sz w:val="18"/>
                <w:vertAlign w:val="subscript"/>
              </w:rPr>
              <w:t>Li</w:t>
            </w:r>
            <w:r>
              <w:rPr>
                <w:rFonts w:ascii="Arial" w:hAnsi="Arial"/>
                <w:b w:val="false"/>
                <w:i w:val="false"/>
                <w:color w:val="333333"/>
                <w:sz w:val="18"/>
              </w:rPr>
              <w:t xml:space="preserve"> het overeenkomstige vrijgaveniveau in Bq/cm</w:t>
            </w:r>
            <w:r>
              <w:rPr>
                <w:rFonts w:ascii="Arial" w:hAnsi="Arial"/>
                <w:b w:val="false"/>
                <w:i w:val="false"/>
                <w:color w:val="333333"/>
                <w:sz w:val="18"/>
                <w:vertAlign w:val="superscript"/>
              </w:rPr>
              <w:t>2</w:t>
            </w:r>
            <w:r>
              <w:rPr>
                <w:rFonts w:ascii="Arial" w:hAnsi="Arial"/>
                <w:b w:val="false"/>
                <w:i w:val="false"/>
                <w:color w:val="333333"/>
                <w:sz w:val="18"/>
              </w:rPr>
              <w:t>.</w:t>
            </w:r>
          </w:p>
        </w:tc>
      </w:tr>
      <w:tr>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4 Niveaux de libération surfacique pour les métaux destinés à la réutilisation directe</w:t>
            </w:r>
          </w:p>
          <w:p>
            <w:pPr>
              <w:spacing w:before="60" w:after="60"/>
              <w:ind w:left="45"/>
              <w:jc w:val="left"/>
            </w:pPr>
            <w:r>
              <w:rPr>
                <w:rFonts w:ascii="Arial" w:hAnsi="Arial"/>
                <w:b w:val="false"/>
                <w:i w:val="false"/>
                <w:color w:val="333333"/>
                <w:sz w:val="18"/>
              </w:rPr>
              <w:t>Les niveaux de libération surfacique ci-dessous sont repris du document “Radiation Protection 89 – Recommended radiological protection criteria for the recycling of metals from the dismantling of nuclear installations, European Commission, 1998” - § 3.2 Clearance criteria for direct reuse. La liste des nucléides filles en équilibre radioactif séculaire pris en compte est donnée en annexe 6 tableau 1.</w:t>
            </w:r>
          </w:p>
          <w:tbl>
            <w:tblPr>
              <w:tblW w:w="0" w:type="auto"/>
              <w:tblCellSpacing w:w="0" w:type="dxa"/>
              <w:tblBorders>
                <w:top w:val="none"/>
                <w:left w:val="none"/>
                <w:bottom w:val="none"/>
                <w:right w:val="none"/>
                <w:insideH w:val="none"/>
                <w:insideV w:val="none"/>
              </w:tblBorders>
            </w:tblPr>
            <w:tblGrid>
              <w:gridCol w:w="1627"/>
              <w:gridCol w:w="1861"/>
              <w:gridCol w:w="1607"/>
              <w:gridCol w:w="1861"/>
              <w:gridCol w:w="1607"/>
              <w:gridCol w:w="1861"/>
            </w:tblGrid>
            <w:tr>
              <w:trPr>
                <w:trHeight w:val="990" w:hRule="atLeast"/>
              </w:trPr>
              <w:tc>
                <w:tcPr>
                  <w:tcW w:w="162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 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Na-22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CI-36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Ni-63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Zn-65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p>
            <w:pPr>
              <w:spacing w:before="60" w:after="60"/>
              <w:ind w:left="45"/>
              <w:jc w:val="left"/>
            </w:pPr>
            <w:r>
              <w:rPr>
                <w:rFonts w:ascii="Arial" w:hAnsi="Arial"/>
                <w:b w:val="false"/>
                <w:i w:val="false"/>
                <w:color w:val="333333"/>
                <w:sz w:val="18"/>
              </w:rPr>
              <w:t>En cas de présence de plusieurs radionuclides, la règle de sommation suivante est d'application: ∑</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 i</w:t>
            </w:r>
            <w:r>
              <w:rPr>
                <w:rFonts w:ascii="Arial" w:hAnsi="Arial"/>
                <w:b w:val="false"/>
                <w:i w:val="false"/>
                <w:color w:val="333333"/>
                <w:sz w:val="18"/>
              </w:rPr>
              <w:t xml:space="preserve"> ≤ 1 où C</w:t>
            </w:r>
            <w:r>
              <w:rPr>
                <w:rFonts w:ascii="Arial" w:hAnsi="Arial"/>
                <w:b w:val="false"/>
                <w:i w:val="false"/>
                <w:color w:val="333333"/>
                <w:sz w:val="18"/>
                <w:vertAlign w:val="subscript"/>
              </w:rPr>
              <w:t>i</w:t>
            </w:r>
            <w:r>
              <w:rPr>
                <w:rFonts w:ascii="Arial" w:hAnsi="Arial"/>
                <w:b w:val="false"/>
                <w:i w:val="false"/>
                <w:color w:val="333333"/>
                <w:sz w:val="18"/>
              </w:rPr>
              <w:t xml:space="preserve"> est la contamination surfacique exprimée en Bq/cm</w:t>
            </w:r>
            <w:r>
              <w:rPr>
                <w:rFonts w:ascii="Arial" w:hAnsi="Arial"/>
                <w:b w:val="false"/>
                <w:i w:val="false"/>
                <w:color w:val="333333"/>
                <w:sz w:val="18"/>
                <w:vertAlign w:val="superscript"/>
              </w:rPr>
              <w:t>2</w:t>
            </w:r>
            <w:r>
              <w:rPr>
                <w:rFonts w:ascii="Arial" w:hAnsi="Arial"/>
                <w:b w:val="false"/>
                <w:i w:val="false"/>
                <w:color w:val="333333"/>
                <w:sz w:val="18"/>
              </w:rPr>
              <w:t xml:space="preserve"> et C</w:t>
            </w:r>
            <w:r>
              <w:rPr>
                <w:rFonts w:ascii="Arial" w:hAnsi="Arial"/>
                <w:b w:val="false"/>
                <w:i w:val="false"/>
                <w:color w:val="333333"/>
                <w:sz w:val="18"/>
                <w:vertAlign w:val="subscript"/>
              </w:rPr>
              <w:t>Li</w:t>
            </w:r>
            <w:r>
              <w:rPr>
                <w:rFonts w:ascii="Arial" w:hAnsi="Arial"/>
                <w:b w:val="false"/>
                <w:i w:val="false"/>
                <w:color w:val="333333"/>
                <w:sz w:val="18"/>
              </w:rPr>
              <w:t xml:space="preserve"> le niveau de libération correspondant exprimé en Bq/cm</w:t>
            </w:r>
            <w:r>
              <w:rPr>
                <w:rFonts w:ascii="Arial" w:hAnsi="Arial"/>
                <w:b w:val="false"/>
                <w:i w:val="false"/>
                <w:color w:val="333333"/>
                <w:sz w:val="18"/>
                <w:vertAlign w:val="superscript"/>
              </w:rPr>
              <w:t>2</w:t>
            </w:r>
            <w:r>
              <w:rPr>
                <w:rFonts w:ascii="Arial" w:hAnsi="Arial"/>
                <w:b w:val="false"/>
                <w:i w:val="false"/>
                <w:color w:val="333333"/>
                <w:sz w:val="18"/>
              </w:rPr>
              <w:t>.</w:t>
            </w:r>
          </w:p>
        </w:tc>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4 Oppervlakte vrijgaveniveaus voor metalen bedoeld voor rechtstreeks hergebruik</w:t>
            </w:r>
          </w:p>
          <w:p>
            <w:pPr>
              <w:spacing w:before="60" w:after="60"/>
              <w:ind w:left="45"/>
              <w:jc w:val="left"/>
            </w:pPr>
            <w:r>
              <w:rPr>
                <w:rFonts w:ascii="Arial" w:hAnsi="Arial"/>
                <w:b w:val="false"/>
                <w:i w:val="false"/>
                <w:color w:val="333333"/>
                <w:sz w:val="18"/>
              </w:rPr>
              <w:t>De onderstaande oppervlakte vrijgaveniveaus worden overgenomen van het document “Radiation Protection 89 – Recommended radiological protection criteria for the recycling of metals from the dismantling of nuclear installations, European Commission, 1998” - § 3.2 Clearance criteria for direct reuse. De lijst met de in seculair evenwicht inbegrepen dochter nuclides is gegeven in bijlage 6 tabel 1.</w:t>
            </w:r>
          </w:p>
          <w:tbl>
            <w:tblPr>
              <w:tblW w:w="0" w:type="auto"/>
              <w:tblCellSpacing w:w="0" w:type="dxa"/>
              <w:tblBorders>
                <w:top w:val="none"/>
                <w:left w:val="none"/>
                <w:bottom w:val="none"/>
                <w:right w:val="none"/>
                <w:insideH w:val="none"/>
                <w:insideV w:val="none"/>
              </w:tblBorders>
            </w:tblPr>
            <w:tblGrid>
              <w:gridCol w:w="1627"/>
              <w:gridCol w:w="1861"/>
              <w:gridCol w:w="1607"/>
              <w:gridCol w:w="1861"/>
              <w:gridCol w:w="1607"/>
              <w:gridCol w:w="1861"/>
            </w:tblGrid>
            <w:tr>
              <w:trPr>
                <w:trHeight w:val="990" w:hRule="atLeast"/>
              </w:trPr>
              <w:tc>
                <w:tcPr>
                  <w:tcW w:w="162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 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Na-22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CI-36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Ni-63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Zn-65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p>
            <w:pPr>
              <w:spacing w:before="60" w:after="60"/>
              <w:ind w:left="45"/>
              <w:jc w:val="left"/>
            </w:pPr>
            <w:r>
              <w:rPr>
                <w:rFonts w:ascii="Arial" w:hAnsi="Arial"/>
                <w:b w:val="false"/>
                <w:i w:val="false"/>
                <w:color w:val="333333"/>
                <w:sz w:val="18"/>
              </w:rPr>
              <w:t>In geval van aanwezigheid van meerdere radionucliden, is de volgende somregel van toepassing: ∑</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 i</w:t>
            </w:r>
            <w:r>
              <w:rPr>
                <w:rFonts w:ascii="Arial" w:hAnsi="Arial"/>
                <w:b w:val="false"/>
                <w:i w:val="false"/>
                <w:color w:val="333333"/>
                <w:sz w:val="18"/>
              </w:rPr>
              <w:t xml:space="preserve"> ≤ 1 met C</w:t>
            </w:r>
            <w:r>
              <w:rPr>
                <w:rFonts w:ascii="Arial" w:hAnsi="Arial"/>
                <w:b w:val="false"/>
                <w:i w:val="false"/>
                <w:color w:val="333333"/>
                <w:sz w:val="18"/>
                <w:vertAlign w:val="subscript"/>
              </w:rPr>
              <w:t>i</w:t>
            </w:r>
            <w:r>
              <w:rPr>
                <w:rFonts w:ascii="Arial" w:hAnsi="Arial"/>
                <w:b w:val="false"/>
                <w:i w:val="false"/>
                <w:color w:val="333333"/>
                <w:sz w:val="18"/>
              </w:rPr>
              <w:t xml:space="preserve"> de oppervlakte besmetting in Bq/cm</w:t>
            </w:r>
            <w:r>
              <w:rPr>
                <w:rFonts w:ascii="Arial" w:hAnsi="Arial"/>
                <w:b w:val="false"/>
                <w:i w:val="false"/>
                <w:color w:val="333333"/>
                <w:sz w:val="18"/>
                <w:vertAlign w:val="superscript"/>
              </w:rPr>
              <w:t>2</w:t>
            </w:r>
            <w:r>
              <w:rPr>
                <w:rFonts w:ascii="Arial" w:hAnsi="Arial"/>
                <w:b w:val="false"/>
                <w:i w:val="false"/>
                <w:color w:val="333333"/>
                <w:sz w:val="18"/>
              </w:rPr>
              <w:t xml:space="preserve"> en C</w:t>
            </w:r>
            <w:r>
              <w:rPr>
                <w:rFonts w:ascii="Arial" w:hAnsi="Arial"/>
                <w:b w:val="false"/>
                <w:i w:val="false"/>
                <w:color w:val="333333"/>
                <w:sz w:val="18"/>
                <w:vertAlign w:val="subscript"/>
              </w:rPr>
              <w:t>Li</w:t>
            </w:r>
            <w:r>
              <w:rPr>
                <w:rFonts w:ascii="Arial" w:hAnsi="Arial"/>
                <w:b w:val="false"/>
                <w:i w:val="false"/>
                <w:color w:val="333333"/>
                <w:sz w:val="18"/>
              </w:rPr>
              <w:t xml:space="preserve"> het overeenkomstige vrijgaveniveau in Bq/cm</w:t>
            </w:r>
            <w:r>
              <w:rPr>
                <w:rFonts w:ascii="Arial" w:hAnsi="Arial"/>
                <w:b w:val="false"/>
                <w:i w:val="false"/>
                <w:color w:val="333333"/>
                <w:sz w:val="18"/>
                <w:vertAlign w:val="superscript"/>
              </w:rPr>
              <w:t>2</w:t>
            </w:r>
            <w:r>
              <w:rPr>
                <w:rFonts w:ascii="Arial" w:hAnsi="Arial"/>
                <w:b w:val="false"/>
                <w:i w:val="false"/>
                <w:color w:val="333333"/>
                <w:sz w:val="18"/>
              </w:rPr>
              <w:t>.</w:t>
            </w:r>
          </w:p>
        </w:tc>
      </w:tr>
      <w:tr>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5 Niveaux de libération surfacique spécifiques par radionucléide pour les matériaux autres que les métaux</w:t>
            </w:r>
          </w:p>
          <w:p>
            <w:pPr>
              <w:spacing w:before="60" w:after="60"/>
              <w:ind w:left="45"/>
              <w:jc w:val="left"/>
            </w:pPr>
            <w:r>
              <w:rPr>
                <w:rFonts w:ascii="Arial" w:hAnsi="Arial"/>
                <w:b w:val="false"/>
                <w:i w:val="false"/>
                <w:color w:val="333333"/>
                <w:sz w:val="18"/>
              </w:rPr>
              <w:t>Les niveaux de libération surfacique ci-dessous sont repris du document “Report on derived surface specific clearance levels based on the SUDOQU-methodology for FANC”, Bel V raport Nr. R-XROODESCD-20-001-0-e, 09/11/2020. La liste des nucléides filles en équilibre radioactif séculaire pris en compte est donnée en annexe 6 tableau 2.</w:t>
            </w:r>
          </w:p>
          <w:tbl>
            <w:tblPr>
              <w:tblW w:w="0" w:type="auto"/>
              <w:tblCellSpacing w:w="0" w:type="dxa"/>
              <w:tblBorders>
                <w:top w:val="none"/>
                <w:left w:val="none"/>
                <w:bottom w:val="none"/>
                <w:right w:val="none"/>
                <w:insideH w:val="none"/>
                <w:insideV w:val="none"/>
              </w:tblBorders>
            </w:tblPr>
            <w:tblGrid>
              <w:gridCol w:w="1627"/>
              <w:gridCol w:w="1861"/>
              <w:gridCol w:w="941"/>
              <w:gridCol w:w="1795"/>
              <w:gridCol w:w="1607"/>
              <w:gridCol w:w="1861"/>
            </w:tblGrid>
            <w:tr>
              <w:trPr>
                <w:trHeight w:val="990" w:hRule="atLeast"/>
              </w:trPr>
              <w:tc>
                <w:tcPr>
                  <w:tcW w:w="162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94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 nuclide</w:t>
                  </w:r>
                </w:p>
              </w:tc>
              <w:tc>
                <w:tcPr>
                  <w:tcW w:w="1795"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Be-7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Sn-117m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Be-10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Sn-119m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Na-22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Al-26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Ir-189+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Sb-120m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Cl-36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345"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Pt-188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Pt-195m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Te-123m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Te-125m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Ti-44+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Te-129m+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V-48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Te-131m+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V-49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Te-132+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Hg-195m+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Cr-51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Hg-203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I-131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Cs-129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Ni-63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Cu-67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Zn-65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Ba-140</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Ge-68+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La-137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Ge-69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La-140</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Ge-71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Ce-139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Pr-143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Nd-147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Br-77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Pm-148m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Pm-151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42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Eu-148</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Eu-150</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Zr-88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Zr-89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Gd-148</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Gd-153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Tb-158</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Tc-94m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Tb-160</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Tc-95m+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Dy-159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Dy-166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Ho-166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Ho-166m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Er-169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Tm-167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Tm-170</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Yb-169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Yb-175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Rh-101m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Lu-177m+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Ag-106m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Hf-181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Hf-182+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W-178+</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Cd-115m+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W-188+</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In-114m+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p>
            <w:pPr>
              <w:spacing w:before="60" w:after="60"/>
              <w:ind w:left="45"/>
              <w:jc w:val="left"/>
            </w:pPr>
            <w:r>
              <w:rPr>
                <w:rFonts w:ascii="Arial" w:hAnsi="Arial"/>
                <w:b w:val="false"/>
                <w:i w:val="false"/>
                <w:color w:val="333333"/>
                <w:sz w:val="18"/>
              </w:rPr>
              <w:t>En cas de présence de plusieurs radionuclides, la règle de sommation suivante est d'application: ∑</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 i</w:t>
            </w:r>
            <w:r>
              <w:rPr>
                <w:rFonts w:ascii="Arial" w:hAnsi="Arial"/>
                <w:b w:val="false"/>
                <w:i w:val="false"/>
                <w:color w:val="333333"/>
                <w:sz w:val="18"/>
              </w:rPr>
              <w:t xml:space="preserve"> ≤ 1 où C</w:t>
            </w:r>
            <w:r>
              <w:rPr>
                <w:rFonts w:ascii="Arial" w:hAnsi="Arial"/>
                <w:b w:val="false"/>
                <w:i w:val="false"/>
                <w:color w:val="333333"/>
                <w:sz w:val="18"/>
                <w:vertAlign w:val="subscript"/>
              </w:rPr>
              <w:t>i</w:t>
            </w:r>
            <w:r>
              <w:rPr>
                <w:rFonts w:ascii="Arial" w:hAnsi="Arial"/>
                <w:b w:val="false"/>
                <w:i w:val="false"/>
                <w:color w:val="333333"/>
                <w:sz w:val="18"/>
              </w:rPr>
              <w:t xml:space="preserve"> est la contamination surfacique exprimée en Bq/cm</w:t>
            </w:r>
            <w:r>
              <w:rPr>
                <w:rFonts w:ascii="Arial" w:hAnsi="Arial"/>
                <w:b w:val="false"/>
                <w:i w:val="false"/>
                <w:color w:val="333333"/>
                <w:sz w:val="18"/>
                <w:vertAlign w:val="superscript"/>
              </w:rPr>
              <w:t>2</w:t>
            </w:r>
            <w:r>
              <w:rPr>
                <w:rFonts w:ascii="Arial" w:hAnsi="Arial"/>
                <w:b w:val="false"/>
                <w:i w:val="false"/>
                <w:color w:val="333333"/>
                <w:sz w:val="18"/>
              </w:rPr>
              <w:t xml:space="preserve"> et C</w:t>
            </w:r>
            <w:r>
              <w:rPr>
                <w:rFonts w:ascii="Arial" w:hAnsi="Arial"/>
                <w:b w:val="false"/>
                <w:i w:val="false"/>
                <w:color w:val="333333"/>
                <w:sz w:val="18"/>
                <w:vertAlign w:val="subscript"/>
              </w:rPr>
              <w:t>Li</w:t>
            </w:r>
            <w:r>
              <w:rPr>
                <w:rFonts w:ascii="Arial" w:hAnsi="Arial"/>
                <w:b w:val="false"/>
                <w:i w:val="false"/>
                <w:color w:val="333333"/>
                <w:sz w:val="18"/>
              </w:rPr>
              <w:t xml:space="preserve"> le niveau de libération correspondant exprimé en Bq/cm</w:t>
            </w:r>
            <w:r>
              <w:rPr>
                <w:rFonts w:ascii="Arial" w:hAnsi="Arial"/>
                <w:b w:val="false"/>
                <w:i w:val="false"/>
                <w:color w:val="333333"/>
                <w:sz w:val="18"/>
                <w:vertAlign w:val="superscript"/>
              </w:rPr>
              <w:t>2</w:t>
            </w:r>
            <w:r>
              <w:rPr>
                <w:rFonts w:ascii="Arial" w:hAnsi="Arial"/>
                <w:b w:val="false"/>
                <w:i w:val="false"/>
                <w:color w:val="333333"/>
                <w:sz w:val="18"/>
              </w:rPr>
              <w:t>.</w:t>
            </w:r>
          </w:p>
        </w:tc>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5 Radionuclide specifieke vrijgaveniveaus voor oppervlaktebesmetting van materialen andere dan metalen</w:t>
            </w:r>
          </w:p>
          <w:p>
            <w:pPr>
              <w:spacing w:before="60" w:after="60"/>
              <w:ind w:left="45"/>
              <w:jc w:val="left"/>
            </w:pPr>
            <w:r>
              <w:rPr>
                <w:rFonts w:ascii="Arial" w:hAnsi="Arial"/>
                <w:b w:val="false"/>
                <w:i w:val="false"/>
                <w:color w:val="333333"/>
                <w:sz w:val="18"/>
              </w:rPr>
              <w:t>De onderstaande oppervlakte vrijgaveniveaus worden overgenomen van het document “Report on derived surface specific clearance levels based on the SUDOQU-methodology for FANC”, Bel V raport Nr. R-XROODE-SCD-20-001-0-e, 09/11/2020. De lijst met de in seculair evenwicht inbegrepen dochter nuclides is gegeven in bijlage 6 tabel 2.</w:t>
            </w:r>
          </w:p>
          <w:tbl>
            <w:tblPr>
              <w:tblW w:w="0" w:type="auto"/>
              <w:tblCellSpacing w:w="0" w:type="dxa"/>
              <w:tblBorders>
                <w:top w:val="none"/>
                <w:left w:val="none"/>
                <w:bottom w:val="none"/>
                <w:right w:val="none"/>
                <w:insideH w:val="none"/>
                <w:insideV w:val="none"/>
              </w:tblBorders>
            </w:tblPr>
            <w:tblGrid>
              <w:gridCol w:w="1627"/>
              <w:gridCol w:w="1861"/>
              <w:gridCol w:w="941"/>
              <w:gridCol w:w="1795"/>
              <w:gridCol w:w="1607"/>
              <w:gridCol w:w="1861"/>
            </w:tblGrid>
            <w:tr>
              <w:trPr>
                <w:trHeight w:val="990" w:hRule="atLeast"/>
              </w:trPr>
              <w:tc>
                <w:tcPr>
                  <w:tcW w:w="162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c>
                <w:tcPr>
                  <w:tcW w:w="94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 nuclide</w:t>
                  </w:r>
                </w:p>
              </w:tc>
              <w:tc>
                <w:tcPr>
                  <w:tcW w:w="1795"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Vrigaveniveau [Bq/cm</w:t>
                  </w:r>
                  <w:r>
                    <w:rPr>
                      <w:rFonts w:ascii="Arial" w:hAnsi="Arial"/>
                      <w:b/>
                      <w:i w:val="false"/>
                      <w:color w:val="333333"/>
                      <w:sz w:val="18"/>
                      <w:vertAlign w:val="superscript"/>
                    </w:rPr>
                    <w:t>2</w:t>
                  </w:r>
                  <w:r>
                    <w:rPr>
                      <w:rFonts w:ascii="Arial" w:hAnsi="Arial"/>
                      <w:b/>
                      <w:i w:val="false"/>
                      <w:color w:val="333333"/>
                      <w:sz w:val="18"/>
                    </w:rPr>
                    <w:t>]</w:t>
                  </w:r>
                </w:p>
              </w:tc>
              <w:tc>
                <w:tcPr>
                  <w:tcW w:w="160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186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Niveau de libération Vrijgaveniveau [Bq/cm</w:t>
                  </w:r>
                  <w:r>
                    <w:rPr>
                      <w:rFonts w:ascii="Arial" w:hAnsi="Arial"/>
                      <w:b/>
                      <w:i w:val="false"/>
                      <w:color w:val="333333"/>
                      <w:sz w:val="18"/>
                      <w:vertAlign w:val="superscript"/>
                    </w:rPr>
                    <w:t>2</w:t>
                  </w:r>
                  <w:r>
                    <w:rPr>
                      <w:rFonts w:ascii="Arial" w:hAnsi="Arial"/>
                      <w:b/>
                      <w:i w:val="false"/>
                      <w:color w:val="333333"/>
                      <w:sz w:val="18"/>
                    </w:rPr>
                    <w:t>]</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Be-7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Sn-117m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Be-10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Sn-119m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Na-22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Al-26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P-32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Ir-189+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Sb-120m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Cl-36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345"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Pt-188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Pt-195m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Te-123m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Te-125m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Ti-44+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Te-129m+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V-48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Te-131m+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V-49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Te-132+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Hg-195m+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Cr-51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Hg-203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Mn-54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I-131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Cs-129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Co-58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Ni-59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Ni-63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Cu-67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Zn-65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Ba-140</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Ge-68+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La-137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Ge-69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La-140</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Ge-71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Ce-139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Pr-143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Nd-147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Br-77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Pm-148m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Pm-151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42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Sm-153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Eu-148</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Eu-150</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Zr-88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Zr-89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Gd-148</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Gd-153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Tb-158</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Tc-94m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Tb-160</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Tc-95m+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Dy-159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Dy-166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Ho-166</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Tc-97m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Ho-166m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Er-169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Tm-167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Ru-97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Tm-170</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Tm-171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Yb-169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Rh-99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Yb-175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Rh-101m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Lu-173</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Cf-246</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Cf-248</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Lu-177</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Cf-249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Pd-107</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Lu-177m+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Cf-250</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Ag-106m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Cf-252</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Hf-181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Hf-182+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Ta-179</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Cd-113</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W-178+</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Cd-113m+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W-181</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Cd-115+</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W-185</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Cd-115m+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W-188+</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In-111+</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62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In-114m+</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94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Re-184m</w:t>
                  </w:r>
                </w:p>
              </w:tc>
              <w:tc>
                <w:tcPr>
                  <w:tcW w:w="179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160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186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p>
            <w:pPr>
              <w:spacing w:before="60" w:after="60"/>
              <w:ind w:left="45"/>
              <w:jc w:val="left"/>
            </w:pPr>
            <w:r>
              <w:rPr>
                <w:rFonts w:ascii="Arial" w:hAnsi="Arial"/>
                <w:b w:val="false"/>
                <w:i w:val="false"/>
                <w:color w:val="333333"/>
                <w:sz w:val="18"/>
              </w:rPr>
              <w:t>In geval van aanwezigheid van meerdere radionucliden, is de volgende somregel van toepassing: ∑</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 i</w:t>
            </w:r>
            <w:r>
              <w:rPr>
                <w:rFonts w:ascii="Arial" w:hAnsi="Arial"/>
                <w:b w:val="false"/>
                <w:i w:val="false"/>
                <w:color w:val="333333"/>
                <w:sz w:val="18"/>
              </w:rPr>
              <w:t xml:space="preserve"> ≤ 1 met C</w:t>
            </w:r>
            <w:r>
              <w:rPr>
                <w:rFonts w:ascii="Arial" w:hAnsi="Arial"/>
                <w:b w:val="false"/>
                <w:i w:val="false"/>
                <w:color w:val="333333"/>
                <w:sz w:val="18"/>
                <w:vertAlign w:val="subscript"/>
              </w:rPr>
              <w:t>i</w:t>
            </w:r>
            <w:r>
              <w:rPr>
                <w:rFonts w:ascii="Arial" w:hAnsi="Arial"/>
                <w:b w:val="false"/>
                <w:i w:val="false"/>
                <w:color w:val="333333"/>
                <w:sz w:val="18"/>
              </w:rPr>
              <w:t xml:space="preserve"> de oppervlakte besmetting in Bq/cm</w:t>
            </w:r>
            <w:r>
              <w:rPr>
                <w:rFonts w:ascii="Arial" w:hAnsi="Arial"/>
                <w:b w:val="false"/>
                <w:i w:val="false"/>
                <w:color w:val="333333"/>
                <w:sz w:val="18"/>
                <w:vertAlign w:val="superscript"/>
              </w:rPr>
              <w:t>2</w:t>
            </w:r>
            <w:r>
              <w:rPr>
                <w:rFonts w:ascii="Arial" w:hAnsi="Arial"/>
                <w:b w:val="false"/>
                <w:i w:val="false"/>
                <w:color w:val="333333"/>
                <w:sz w:val="18"/>
              </w:rPr>
              <w:t xml:space="preserve"> en C</w:t>
            </w:r>
            <w:r>
              <w:rPr>
                <w:rFonts w:ascii="Arial" w:hAnsi="Arial"/>
                <w:b w:val="false"/>
                <w:i w:val="false"/>
                <w:color w:val="333333"/>
                <w:sz w:val="18"/>
                <w:vertAlign w:val="subscript"/>
              </w:rPr>
              <w:t>Li</w:t>
            </w:r>
            <w:r>
              <w:rPr>
                <w:rFonts w:ascii="Arial" w:hAnsi="Arial"/>
                <w:b w:val="false"/>
                <w:i w:val="false"/>
                <w:color w:val="333333"/>
                <w:sz w:val="18"/>
              </w:rPr>
              <w:t xml:space="preserve"> het overeenkomstige vrijgaveniveau in Bq/cm</w:t>
            </w:r>
            <w:r>
              <w:rPr>
                <w:rFonts w:ascii="Arial" w:hAnsi="Arial"/>
                <w:b w:val="false"/>
                <w:i w:val="false"/>
                <w:color w:val="333333"/>
                <w:sz w:val="18"/>
                <w:vertAlign w:val="superscript"/>
              </w:rPr>
              <w:t>2</w:t>
            </w:r>
            <w:r>
              <w:rPr>
                <w:rFonts w:ascii="Arial" w:hAnsi="Arial"/>
                <w:b w:val="false"/>
                <w:i w:val="false"/>
                <w:color w:val="333333"/>
                <w:sz w:val="18"/>
              </w:rPr>
              <w:t>.</w:t>
            </w:r>
          </w:p>
        </w:tc>
      </w:tr>
      <w:tr>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6 Radionucléides filles en équilibre radioactif séculaire pris en compte dans les niveaux de libération surfacique repris aux annexes 1 à 5</w:t>
            </w:r>
          </w:p>
          <w:p>
            <w:pPr>
              <w:spacing w:before="60" w:after="60"/>
              <w:ind w:left="45"/>
              <w:jc w:val="left"/>
            </w:pPr>
            <w:r>
              <w:rPr>
                <w:rFonts w:ascii="Arial" w:hAnsi="Arial"/>
                <w:b w:val="false"/>
                <w:i w:val="false"/>
                <w:color w:val="333333"/>
                <w:sz w:val="18"/>
              </w:rPr>
              <w:t>Le tableau 1 ci-dessous, extrait du document “Radiation Protection 89 – Recommended radiological protection criteria for the recycling of metals from the dismantling of nuclear installations, European Commission, 1998”, fournit la liste des radionucléides filles en équilibre séculaire pris en compte dans les tableaux des annexes 1 à 4. Le tableau 2 ci-dessous, extrait du document “Report on derived surface specific clearance levels based on the SUDOQU-methodology for FANC”, Bel V raport Nr. R-XROODE-SCD-20-001-0-e, 09/11/2020, fournit la liste des radionucléides filles en équilibre séculaire pris en compte dans le tableau de l'annexe 5.</w:t>
            </w:r>
          </w:p>
          <w:p>
            <w:pPr>
              <w:spacing w:before="60" w:after="60"/>
              <w:ind w:left="45"/>
              <w:jc w:val="left"/>
            </w:pPr>
            <w:r>
              <w:rPr>
                <w:rFonts w:ascii="Arial" w:hAnsi="Arial"/>
                <w:b w:val="false"/>
                <w:i w:val="false"/>
                <w:color w:val="333333"/>
                <w:sz w:val="18"/>
              </w:rPr>
              <w:t>Tableau 1 Liste des radionucléides filles en équilibre radioactif séculaire pris en compte dans les tableaux des annexes 1 à 4</w:t>
            </w:r>
          </w:p>
          <w:tbl>
            <w:tblPr>
              <w:tblW w:w="0" w:type="auto"/>
              <w:tblCellSpacing w:w="0" w:type="dxa"/>
              <w:tblBorders>
                <w:top w:val="none"/>
                <w:left w:val="none"/>
                <w:bottom w:val="none"/>
                <w:right w:val="none"/>
                <w:insideH w:val="none"/>
                <w:insideV w:val="none"/>
              </w:tblBorders>
            </w:tblPr>
            <w:tblGrid>
              <w:gridCol w:w="1254"/>
              <w:gridCol w:w="7106"/>
            </w:tblGrid>
            <w:tr>
              <w:trPr>
                <w:trHeight w:val="300" w:hRule="atLeast"/>
              </w:trPr>
              <w:tc>
                <w:tcPr>
                  <w:tcW w:w="125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Parent</w:t>
                  </w:r>
                </w:p>
              </w:tc>
              <w:tc>
                <w:tcPr>
                  <w:tcW w:w="7106"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Radionucléides filles en équilibre séculaire pris en compte</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Y-90</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Nb-95, Nb 95m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Pd-103</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Rh-103m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Ag-109m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In-113m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Te-125m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Ba-137m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Pr-144, Pr-144m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Rn-222, Po-218, Pb-214, Bi-214, Po-214</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Ac-228</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Ra-224, Rn-220, Po-216, Pb-212, Bi-212, Tl-208, Po-212</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Th-229</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Ra-225, Ac-225, Fr-221, At-217, Bi-213, Tl-209, Po-213, Pb-209</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Th-231</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Th-234, Pa-234m, Pa-234</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Pa-233</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U-240, Np-240m, Np-240</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Np-238, Am-242</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Np-239</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Pu-243</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Bk-250</w:t>
                  </w:r>
                </w:p>
              </w:tc>
            </w:tr>
          </w:tbl>
          <w:p/>
          <w:p>
            <w:pPr>
              <w:spacing w:before="60" w:after="60"/>
              <w:ind w:left="45"/>
              <w:jc w:val="left"/>
            </w:pPr>
            <w:r>
              <w:rPr>
                <w:rFonts w:ascii="Arial" w:hAnsi="Arial"/>
                <w:b w:val="false"/>
                <w:i w:val="false"/>
                <w:color w:val="333333"/>
                <w:sz w:val="18"/>
              </w:rPr>
              <w:t>Tableau 2 Liste des radionucléides filles en équilibre radioactif séculaire pris en compte dans l'annexe 5</w:t>
            </w:r>
          </w:p>
          <w:tbl>
            <w:tblPr>
              <w:tblW w:w="0" w:type="auto"/>
              <w:tblCellSpacing w:w="0" w:type="dxa"/>
              <w:tblBorders>
                <w:top w:val="none"/>
                <w:left w:val="none"/>
                <w:bottom w:val="none"/>
                <w:right w:val="none"/>
                <w:insideH w:val="none"/>
                <w:insideV w:val="none"/>
              </w:tblBorders>
            </w:tblPr>
            <w:tblGrid>
              <w:gridCol w:w="1756"/>
              <w:gridCol w:w="837"/>
              <w:gridCol w:w="752"/>
              <w:gridCol w:w="919"/>
              <w:gridCol w:w="752"/>
              <w:gridCol w:w="836"/>
              <w:gridCol w:w="836"/>
              <w:gridCol w:w="836"/>
              <w:gridCol w:w="836"/>
            </w:tblGrid>
            <w:tr>
              <w:trPr>
                <w:trHeight w:val="510" w:hRule="atLeast"/>
              </w:trPr>
              <w:tc>
                <w:tcPr>
                  <w:tcW w:w="1756"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Parent</w:t>
                  </w:r>
                </w:p>
              </w:tc>
              <w:tc>
                <w:tcPr>
                  <w:tcW w:w="0" w:type="auto"/>
                  <w:gridSpan w:val="8"/>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Les radionucléides filles en équilibre séculaire pris en compte</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Ti-44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Fe-60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Ge-68</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Kr-83m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Sr-82</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Y-87</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Sr-87m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Tc-95m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Tc-95</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555"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Rh-103m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Rh-103m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Ag-109m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Ag-109m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Cd-113m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In-113m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Cd-115m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In-111</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Cd-111m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In-114m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In-113m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Sn-126</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Sb-126m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Sb-126</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Te-129m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Te-129</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Te-131m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Te-131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Te-132</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I-132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Ba-137m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Pr-144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Pr-144m</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Gd-146</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Lu-177m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Lu-177</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Hf-172</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Lu-172m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Hf-182</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W-178</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W-188</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Os-189m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Ir-189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Os-189m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765"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Hg-195m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Hg-195</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Pb-202</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Hg-206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Bi-211</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Tl-207</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Po-211</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Po-215</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Rn-219</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Rn-220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Tl-208</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Po-212</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Po-216</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Rn-222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Po-218</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Bi-214</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Tl-210</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Po-214</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At-218</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Rn-218</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Fr-221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Bi-213</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Tl-209</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Pb-209</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Po-213</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At-217</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Rn-217</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Pa-234m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Pa-234</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Fr-222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Rn-218</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Pa-234m</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Pa-233</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U-237</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U-240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Np-240m</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Np-240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Np-239</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Pu-243</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Am-245</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Cm-249</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Bk-250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Fm-254</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Bk-250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Fm-254</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tc>
        <w:tc>
          <w:tcPr>
            <w:tcW w:w="1280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6 Dochter radionuclides in seculair evenwicht inbegrepen in de vrijgaveniveaus voor oppervlaktebesmetting gegeven in de bijlage 1 tot 5.</w:t>
            </w:r>
          </w:p>
          <w:p>
            <w:pPr>
              <w:spacing w:before="60" w:after="60"/>
              <w:ind w:left="45"/>
              <w:jc w:val="left"/>
            </w:pPr>
            <w:r>
              <w:rPr>
                <w:rFonts w:ascii="Arial" w:hAnsi="Arial"/>
                <w:b w:val="false"/>
                <w:i w:val="false"/>
                <w:color w:val="333333"/>
                <w:sz w:val="18"/>
              </w:rPr>
              <w:t>De onderstaande tabel 1, overgenomen uit “Radiation Protection 89 – Recommended radiological protection criteria for the recycling of metals from the dismantling of nuclear installations, European Commission, 1998” geeft de lijst van dochter radionuclides in seculair evenwicht die inbegrepen zijn in de tabellen in bijlage 1 tot en met 4. De onderstaande tabel 2, overgenomen uit “Report on derived surface specific clearance levels based on the SUDOQU-methodology for FANC”, Bel V raport Nr. R-XROODE-SCD-20-001-0-e, 09/11/2020, geeft de lijst van dochter radionuclides in seculair evenwicht die inbegrepen zijn in de tabel in bijlage 5.</w:t>
            </w:r>
          </w:p>
          <w:p>
            <w:pPr>
              <w:spacing w:before="60" w:after="60"/>
              <w:ind w:left="45"/>
              <w:jc w:val="left"/>
            </w:pPr>
            <w:r>
              <w:rPr>
                <w:rFonts w:ascii="Arial" w:hAnsi="Arial"/>
                <w:b w:val="false"/>
                <w:i w:val="false"/>
                <w:color w:val="333333"/>
                <w:sz w:val="18"/>
              </w:rPr>
              <w:t>Tabel 1 Lijst van dochter radionuclides in seculair evenwicht die inbegrepen zijn in de tabellen in bijlage 1 tot en met 4</w:t>
            </w:r>
          </w:p>
          <w:tbl>
            <w:tblPr>
              <w:tblW w:w="0" w:type="auto"/>
              <w:tblCellSpacing w:w="0" w:type="dxa"/>
              <w:tblBorders>
                <w:top w:val="none"/>
                <w:left w:val="none"/>
                <w:bottom w:val="none"/>
                <w:right w:val="none"/>
                <w:insideH w:val="none"/>
                <w:insideV w:val="none"/>
              </w:tblBorders>
            </w:tblPr>
            <w:tblGrid>
              <w:gridCol w:w="1254"/>
              <w:gridCol w:w="7106"/>
            </w:tblGrid>
            <w:tr>
              <w:trPr>
                <w:trHeight w:val="300" w:hRule="atLeast"/>
              </w:trPr>
              <w:tc>
                <w:tcPr>
                  <w:tcW w:w="125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Ouder</w:t>
                  </w:r>
                </w:p>
              </w:tc>
              <w:tc>
                <w:tcPr>
                  <w:tcW w:w="7106"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inbegrepen dochter radionuclides in seculair evenwicht</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Y-90</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Nb-95, Nb 95m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Pd-103</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Rh-103m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Ag-109m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In-113m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Te-125m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Ba-137m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Pr-144, Pr-144m</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Rn-222, Po-218, Pb-214, Bi-214, Po-214</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Ac-228</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Ra-224, Rn-220, Po-216, Pb-212, Bi-212, Tl-208, Po-212</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Th-229</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Ra-225, Ac-225, Fr-221, At-217, Bi-213, Tl-209, Po-213, Pb-209</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Th-231</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Th-234, Pa-234m, Pa-234</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Pa-233</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U-240, Np-240m, Np-240</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Np-238, Am-242</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Np-239</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Pu-243</w:t>
                  </w:r>
                </w:p>
              </w:tc>
            </w:tr>
            <w:tr>
              <w:trPr>
                <w:trHeight w:val="270" w:hRule="atLeast"/>
              </w:trPr>
              <w:tc>
                <w:tcPr>
                  <w:tcW w:w="125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710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Bk-250</w:t>
                  </w:r>
                </w:p>
              </w:tc>
            </w:tr>
          </w:tbl>
          <w:p/>
          <w:p>
            <w:pPr>
              <w:spacing w:before="60" w:after="60"/>
              <w:ind w:left="45"/>
              <w:jc w:val="left"/>
            </w:pPr>
            <w:r>
              <w:rPr>
                <w:rFonts w:ascii="Arial" w:hAnsi="Arial"/>
                <w:b w:val="false"/>
                <w:i w:val="false"/>
                <w:color w:val="333333"/>
                <w:sz w:val="18"/>
              </w:rPr>
              <w:t>Tabel 2 Lijst van dochter radionuclides in seculair evenwicht die inbegrepen zijn in de tabel in bijlage 5</w:t>
            </w:r>
          </w:p>
          <w:tbl>
            <w:tblPr>
              <w:tblW w:w="0" w:type="auto"/>
              <w:tblCellSpacing w:w="0" w:type="dxa"/>
              <w:tblBorders>
                <w:top w:val="none"/>
                <w:left w:val="none"/>
                <w:bottom w:val="none"/>
                <w:right w:val="none"/>
                <w:insideH w:val="none"/>
                <w:insideV w:val="none"/>
              </w:tblBorders>
            </w:tblPr>
            <w:tblGrid>
              <w:gridCol w:w="1756"/>
              <w:gridCol w:w="837"/>
              <w:gridCol w:w="752"/>
              <w:gridCol w:w="919"/>
              <w:gridCol w:w="752"/>
              <w:gridCol w:w="836"/>
              <w:gridCol w:w="836"/>
              <w:gridCol w:w="836"/>
              <w:gridCol w:w="836"/>
            </w:tblGrid>
            <w:tr>
              <w:trPr>
                <w:trHeight w:val="300" w:hRule="atLeast"/>
              </w:trPr>
              <w:tc>
                <w:tcPr>
                  <w:tcW w:w="1756"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Ouder</w:t>
                  </w:r>
                </w:p>
              </w:tc>
              <w:tc>
                <w:tcPr>
                  <w:tcW w:w="0" w:type="auto"/>
                  <w:gridSpan w:val="8"/>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inbegrepen dochter radionuclides in seculair evenwicht</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Ti-44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Fe-60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Co-60</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Ge-68</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Kr-83m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Sr-82</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Sr-90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Y-90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Y-87</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Sr-87m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Zr-95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Nb-95m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Mo-99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Tc-99m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Tc-95m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Tc-95</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765"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Rh-103m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Ru-106</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Rh-103m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Ag-109m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Ag-110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Cd-109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Ag-109m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Cd-113m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In-113m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Cd-115m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In-111</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Cd-111m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In-114m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In-113m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Sn-126</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Sb-126m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Sb-126</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Te-127</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Te-129m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Te-129</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Te-131m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Te-131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Te-132</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I-132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Cs-137</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Ba-137m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Ce-144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Pr-144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Pr-144m</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Gd-146</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Lu-177m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Lu-177</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Hf-172</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Lu-172m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Hf-182</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Ta-182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W-178</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W-188</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Os-189m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Ir-194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Ir-189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Os-189m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765"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Hg-195m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Hg-195</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Pb-202</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Hg-206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Bi-211</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Tl-207</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Po-211</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Po-215</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Rn-219</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Rn-220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Tl-208</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Po-212</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Po-216</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Rn-222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Po-218</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Bi-214</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Tl-210</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Po-214</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At-218</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Rn-218</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Fr-221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Bi-213</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Tl-209</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Pb-209</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Po-213</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At-217</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Rn-217</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Pa-234m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Pa-234</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Fr-222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U-230</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Th-226</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Rn-218</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Th-231</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Pa-234m</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Pa-234</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Np-235</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Pu-236</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Np-237</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Pa-233</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Pu-239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U-235m</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27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Pu-241</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U-237</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U-240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Np-240m</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Np-240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Np-238</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Am-242</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Cm-242</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Np-239</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Cm-247</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Pu-243</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Bk-249</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Am-245</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Cf-253</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Cm-249</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Bk-250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Fm-254</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480" w:hRule="atLeast"/>
              </w:trPr>
              <w:tc>
                <w:tcPr>
                  <w:tcW w:w="175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Es-254m</w:t>
                  </w:r>
                </w:p>
              </w:tc>
              <w:tc>
                <w:tcPr>
                  <w:tcW w:w="83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Bk-250</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Fm-254</w:t>
                  </w:r>
                </w:p>
              </w:tc>
              <w:tc>
                <w:tcPr>
                  <w:tcW w:w="919"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7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8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bl>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