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20/07/01 ARBIS - Bijlage VIII - Niveaus voor de vrijstelling van aangifte voor vaste natuurlijke stralingsbronnen </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 - Annexe VIII - Niveaux d'exemption de déclaration pour les sources naturelles de rayonnement à l'état solide</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VIII Niveaus voor de vrijstelling van aangifte voor vaste natuurlijke stralingsbronnen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In de tabel A hieronder worden de vrijstellingwaarden vermeld die van toepassing zijn in het kader van artikel 4.2. Deze waarden zijn van toepassing voor de vaste natuurlijke stralingsbronnen. Voor sommige radionucliden, worden specifieke niveaus vastgelegd voor het storten op monostortplaatsen.</w:t>
            </w:r>
          </w:p>
          <w:tbl>
            <w:tblPr>
              <w:tblW w:w="0" w:type="auto"/>
              <w:tblCellSpacing w:w="0" w:type="dxa"/>
              <w:tblBorders>
                <w:top w:val="none"/>
                <w:left w:val="none"/>
                <w:bottom w:val="none"/>
                <w:right w:val="none"/>
                <w:insideH w:val="none"/>
                <w:insideV w:val="none"/>
              </w:tblBorders>
            </w:tblPr>
            <w:tblGrid>
              <w:gridCol w:w="4264"/>
              <w:gridCol w:w="4096"/>
            </w:tblGrid>
            <w:tr>
              <w:trPr>
                <w:trHeight w:val="300"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Radionuclide</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Activiteitsconcentratie (kBp/kg)</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 (incl.U-235sec)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(monostortplaats)</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(monostortplaats)</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(monostortplaats)</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bl>
          <w:p/>
          <w:p>
            <w:pPr>
              <w:spacing w:before="60" w:after="60"/>
              <w:ind w:left="45"/>
              <w:jc w:val="left"/>
            </w:pPr>
            <w:r>
              <w:rPr>
                <w:rFonts w:ascii="Arial" w:hAnsi="Arial"/>
                <w:b w:val="false"/>
                <w:i w:val="false"/>
                <w:color w:val="333333"/>
                <w:sz w:val="18"/>
              </w:rPr>
              <w:t>Tabel A: Niveaus voor de vrijstelling van aangifte voor vaste natuurlijke stralingsbronnen</w:t>
            </w:r>
          </w:p>
          <w:p>
            <w:pPr>
              <w:spacing w:before="60" w:after="60"/>
              <w:ind w:left="45"/>
              <w:jc w:val="left"/>
            </w:pPr>
            <w:r>
              <w:rPr>
                <w:rFonts w:ascii="Arial" w:hAnsi="Arial"/>
                <w:b w:val="false"/>
                <w:i w:val="false"/>
                <w:color w:val="333333"/>
                <w:sz w:val="18"/>
              </w:rPr>
              <w:t>In de tabel B hieronder worden de vervalproducten vermeld waarmee rekening werd gehouden voor de berekening van deze niveaus.</w:t>
            </w:r>
          </w:p>
          <w:tbl>
            <w:tblPr>
              <w:tblW w:w="0" w:type="auto"/>
              <w:tblCellSpacing w:w="0" w:type="dxa"/>
              <w:tblBorders>
                <w:top w:val="none"/>
                <w:left w:val="none"/>
                <w:bottom w:val="none"/>
                <w:right w:val="none"/>
                <w:insideH w:val="none"/>
                <w:insideV w:val="none"/>
              </w:tblBorders>
            </w:tblPr>
            <w:tblGrid>
              <w:gridCol w:w="4097"/>
              <w:gridCol w:w="4263"/>
            </w:tblGrid>
            <w:tr>
              <w:trPr>
                <w:trHeight w:val="510" w:hRule="atLeast"/>
              </w:trPr>
              <w:tc>
                <w:tcPr>
                  <w:tcW w:w="409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Moedernuclide</w:t>
                  </w:r>
                </w:p>
              </w:tc>
              <w:tc>
                <w:tcPr>
                  <w:tcW w:w="4263"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Radionucliden beschouwd in seculair evenwicht</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Uraniumreeks</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Th-230, Ra-226, Rn-222, Po-218, Pb-214, Bi-214, Po-214, Pb-210, Bi-210, Po-210</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U-235 (4.6 %), Th-231 (4.6 %)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r>
            <w:tr>
              <w:trPr>
                <w:trHeight w:val="48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 Rn-222, Po-218, Pb-214, Bi-214, Po-214</w:t>
                  </w:r>
                </w:p>
              </w:tc>
            </w:tr>
            <w:tr>
              <w:trPr>
                <w:trHeight w:val="375"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 Bi-210</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U-235sec</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 Pa-231, Ac-227, Th-227 (98.6 %), Fr-223 (1.4 %), Ra-223, Rn-219, Po-215, Pb-211, Bi-211, Tl-207, Po-211 (0.3 %)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 Th-227 (98.6 %), Fr-223 (1.4 %), Ra-223, Rn-219, Po-215, Pb-211, Bi-211, Tl-207, Po-211 (0.3 %)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Thoriumreeks</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 Ra-228, Ac-228, Th-228, Ra-224, Rn-220, Po-216, Pb-212, Bi-212, Po-212 (64.1 %), Tl-208 (35.9 %)</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r>
            <w:tr>
              <w:trPr>
                <w:trHeight w:val="27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 Ac-228</w:t>
                  </w:r>
                </w:p>
              </w:tc>
            </w:tr>
            <w:tr>
              <w:trPr>
                <w:trHeight w:val="690" w:hRule="atLeast"/>
              </w:trPr>
              <w:tc>
                <w:tcPr>
                  <w:tcW w:w="409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26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 Ra-224, Rn-220, Po-216, Pb-212, Bi-212, Po-212 (64.1 %), Tl-208 (35.9 %)</w:t>
                  </w:r>
                </w:p>
              </w:tc>
            </w:tr>
          </w:tbl>
          <w:p/>
          <w:p>
            <w:pPr>
              <w:spacing w:before="60" w:after="60"/>
              <w:ind w:left="45"/>
              <w:jc w:val="left"/>
            </w:pPr>
            <w:r>
              <w:rPr>
                <w:rFonts w:ascii="Arial" w:hAnsi="Arial"/>
                <w:b w:val="false"/>
                <w:i w:val="false"/>
                <w:color w:val="333333"/>
                <w:sz w:val="18"/>
              </w:rPr>
              <w:t>Tabel B: De vervalproducten waarmee rekening werd gehouden voor de berekening van de vrijstellingsniveaus</w:t>
            </w:r>
          </w:p>
          <w:p>
            <w:pPr>
              <w:spacing w:before="60" w:after="60"/>
              <w:ind w:left="45"/>
              <w:jc w:val="left"/>
            </w:pPr>
            <w:r>
              <w:rPr>
                <w:rFonts w:ascii="Arial" w:hAnsi="Arial"/>
                <w:b w:val="false"/>
                <w:i w:val="false"/>
                <w:color w:val="333333"/>
                <w:sz w:val="18"/>
              </w:rPr>
              <w:t>In geval van aanwezigheid van verschillende natuurlijke radionucliden, is de volgende somregel van toepassing:</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met C</w:t>
            </w:r>
            <w:r>
              <w:rPr>
                <w:rFonts w:ascii="Arial" w:hAnsi="Arial"/>
                <w:b w:val="false"/>
                <w:i w:val="false"/>
                <w:color w:val="333333"/>
                <w:sz w:val="18"/>
                <w:vertAlign w:val="subscript"/>
              </w:rPr>
              <w:t>i</w:t>
            </w:r>
            <w:r>
              <w:rPr>
                <w:rFonts w:ascii="Arial" w:hAnsi="Arial"/>
                <w:b w:val="false"/>
                <w:i w:val="false"/>
                <w:color w:val="333333"/>
                <w:sz w:val="18"/>
              </w:rPr>
              <w:t xml:space="preserve"> de activiteitsconcentratiewaarde van de radionuclide i en C</w:t>
            </w:r>
            <w:r>
              <w:rPr>
                <w:rFonts w:ascii="Arial" w:hAnsi="Arial"/>
                <w:b w:val="false"/>
                <w:i w:val="false"/>
                <w:color w:val="333333"/>
                <w:sz w:val="18"/>
                <w:vertAlign w:val="subscript"/>
              </w:rPr>
              <w:t>L,i</w:t>
            </w:r>
            <w:r>
              <w:rPr>
                <w:rFonts w:ascii="Arial" w:hAnsi="Arial"/>
                <w:b w:val="false"/>
                <w:i w:val="false"/>
                <w:color w:val="333333"/>
                <w:sz w:val="18"/>
              </w:rPr>
              <w:t xml:space="preserve"> het overeenkomstige niveau in de tabel A.</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VIII Niveaux d'exemption de déclaration pour les sources naturelles de rayonnement à l'état solide</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 tableau A ci-après désigne les valeurs d'exemption de déclaration d'application dans le cadre de l'article 4.2. Ces niveaux sont applicables aux sources naturelles de rayonnement à l'état solide. Pour certains radionucléides, des niveaux spécifiques sont définis pour la mise en mono-décharge.</w:t>
            </w:r>
          </w:p>
          <w:tbl>
            <w:tblPr>
              <w:tblW w:w="0" w:type="auto"/>
              <w:tblCellSpacing w:w="0" w:type="dxa"/>
              <w:tblBorders>
                <w:top w:val="none"/>
                <w:left w:val="none"/>
                <w:bottom w:val="none"/>
                <w:right w:val="none"/>
                <w:insideH w:val="none"/>
                <w:insideV w:val="none"/>
              </w:tblBorders>
            </w:tblPr>
            <w:tblGrid>
              <w:gridCol w:w="4264"/>
              <w:gridCol w:w="4096"/>
            </w:tblGrid>
            <w:tr>
              <w:trPr>
                <w:trHeight w:val="300"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Radionucléide</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Concentration d'activité (kBp/kq)</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 (incl.U-235sec)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(mono-décharge)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(mono-décharge)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vMerge w:val="restart"/>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0" w:type="auto"/>
                  <w:vMerge/>
                  <w:tcBorders>
                    <w:top w:val="nil"/>
                    <w:left w:val="single" w:color="000000" w:sz="8"/>
                    <w:bottom w:val="single" w:color="000000" w:sz="8"/>
                    <w:right w:val="single" w:color="000000" w:sz="8"/>
                  </w:tcBorders>
                </w:tcP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0.1 (mono-décharge)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0.5</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K-40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w:t>
                  </w:r>
                </w:p>
              </w:tc>
            </w:tr>
          </w:tbl>
          <w:p/>
          <w:p>
            <w:pPr>
              <w:spacing w:before="60" w:after="60"/>
              <w:ind w:left="45"/>
              <w:jc w:val="left"/>
            </w:pPr>
            <w:r>
              <w:rPr>
                <w:rFonts w:ascii="Arial" w:hAnsi="Arial"/>
                <w:b w:val="false"/>
                <w:i w:val="false"/>
                <w:color w:val="333333"/>
                <w:sz w:val="18"/>
              </w:rPr>
              <w:t>Tableau A: valeurs d'exemption de déclaration pour les sources naturelles solides</w:t>
            </w:r>
          </w:p>
          <w:p>
            <w:pPr>
              <w:spacing w:before="60" w:after="60"/>
              <w:ind w:left="45"/>
              <w:jc w:val="left"/>
            </w:pPr>
            <w:r>
              <w:rPr>
                <w:rFonts w:ascii="Arial" w:hAnsi="Arial"/>
                <w:b w:val="false"/>
                <w:i w:val="false"/>
                <w:color w:val="333333"/>
                <w:sz w:val="18"/>
              </w:rPr>
              <w:t>Le tableau B ci-après désigne les descendants pris en compte dans le calcul de ces niveaux.</w:t>
            </w:r>
          </w:p>
          <w:tbl>
            <w:tblPr>
              <w:tblW w:w="0" w:type="auto"/>
              <w:tblCellSpacing w:w="0" w:type="dxa"/>
              <w:tblBorders>
                <w:top w:val="none"/>
                <w:left w:val="none"/>
                <w:bottom w:val="none"/>
                <w:right w:val="none"/>
                <w:insideH w:val="none"/>
                <w:insideV w:val="none"/>
              </w:tblBorders>
            </w:tblPr>
            <w:tblGrid>
              <w:gridCol w:w="4264"/>
              <w:gridCol w:w="4096"/>
            </w:tblGrid>
            <w:tr>
              <w:trPr>
                <w:trHeight w:val="510" w:hRule="atLeast"/>
              </w:trPr>
              <w:tc>
                <w:tcPr>
                  <w:tcW w:w="426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Parent</w:t>
                  </w:r>
                </w:p>
              </w:tc>
              <w:tc>
                <w:tcPr>
                  <w:tcW w:w="4096"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Radionucléides considérés en équilibre séculaire</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Chaîne de l'uranium</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Th-230, Ra-226, Rn-222, Po-218, Pb-214, Bi-214, Po-214, Pb-210, Bi-210, Po-210</w:t>
                  </w:r>
                </w:p>
              </w:tc>
            </w:tr>
            <w:tr>
              <w:trPr>
                <w:trHeight w:val="69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 nat</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U-238, Th-234, Pa-234m, Pa-234 (0.3 %), U-234, U-235 (4.6 %), Th-231 (4.6 %)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Th-230</w:t>
                  </w:r>
                </w:p>
              </w:tc>
            </w:tr>
            <w:tr>
              <w:trPr>
                <w:trHeight w:val="555"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Ra-226, Rn-222, Po-218, Pb-214, Bi-214, Po-214</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Pb-210, Bi-210</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Po-210</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 Pa-231, Ac-227, Th-227 (98.6 %), Fr-223 (1.4 %), Ra-223, Rn-219, Po-215, Pb-211, Bi-211, Ti-207, Po-211 (0.3 %)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U-235, Th-231</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Pa-231</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 Th-227 (98.6 %), Fr-223 (1.4 %), Ra-223, Rn-219, Po-215, Pb-211, Bi-211, Ti-207, Po-211 (0.3 %)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Chaîne du thorium</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r>
            <w:tr>
              <w:trPr>
                <w:trHeight w:val="90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Th-232sec</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 Ra-228, Ac-228, Th-228, Ra-224, Rn-220, Po-216, Pb-212, Bi-212, Po-212 (64.1 %), Ti-208 (35.9 %)</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Th-232</w:t>
                  </w:r>
                </w:p>
              </w:tc>
            </w:tr>
            <w:tr>
              <w:trPr>
                <w:trHeight w:val="27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Ra-228, Ac-228</w:t>
                  </w:r>
                </w:p>
              </w:tc>
            </w:tr>
            <w:tr>
              <w:trPr>
                <w:trHeight w:val="690" w:hRule="atLeast"/>
              </w:trPr>
              <w:tc>
                <w:tcPr>
                  <w:tcW w:w="426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w:t>
                  </w:r>
                </w:p>
              </w:tc>
              <w:tc>
                <w:tcPr>
                  <w:tcW w:w="409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Th-228, Ra-224, Rn-220, Po-216, Pb-212, Bi-212, Po-212 (64.1 %), Tl-208 (35.9 %)</w:t>
                  </w:r>
                </w:p>
              </w:tc>
            </w:tr>
          </w:tbl>
          <w:p/>
          <w:p>
            <w:pPr>
              <w:spacing w:before="60" w:after="60"/>
              <w:ind w:left="45"/>
              <w:jc w:val="left"/>
            </w:pPr>
            <w:r>
              <w:rPr>
                <w:rFonts w:ascii="Arial" w:hAnsi="Arial"/>
                <w:b w:val="false"/>
                <w:i w:val="false"/>
                <w:color w:val="333333"/>
                <w:sz w:val="18"/>
              </w:rPr>
              <w:t>Tableau B: descendants pris en compte dans les niveaux d'exemption de déclaration</w:t>
            </w:r>
          </w:p>
          <w:p>
            <w:pPr>
              <w:spacing w:before="60" w:after="60"/>
              <w:ind w:left="45"/>
              <w:jc w:val="left"/>
            </w:pPr>
            <w:r>
              <w:rPr>
                <w:rFonts w:ascii="Arial" w:hAnsi="Arial"/>
                <w:b w:val="false"/>
                <w:i w:val="false"/>
                <w:color w:val="333333"/>
                <w:sz w:val="18"/>
              </w:rPr>
              <w:t>En cas de présence de plusieurs radionucléides naturels, la règle de somme suivante est d'application:</w:t>
            </w:r>
          </w:p>
          <w:p>
            <w:pPr>
              <w:spacing w:before="60" w:after="60"/>
              <w:ind w:left="45"/>
              <w:jc w:val="left"/>
            </w:pPr>
            <w:r>
              <w:rPr>
                <w:rFonts w:ascii="Arial" w:hAnsi="Arial"/>
                <w:b w:val="false"/>
                <w:i w:val="false"/>
                <w:color w:val="333333"/>
                <w:sz w:val="18"/>
              </w:rPr>
              <w:t>∑</w:t>
            </w:r>
            <w:r>
              <w:rPr>
                <w:rFonts w:ascii="Arial" w:hAnsi="Arial"/>
                <w:b w:val="false"/>
                <w:i w:val="false"/>
                <w:color w:val="333333"/>
                <w:sz w:val="18"/>
                <w:vertAlign w:val="subscript"/>
              </w:rPr>
              <w:t>i</w:t>
            </w:r>
            <w:r>
              <w:rPr>
                <w:rFonts w:ascii="Arial" w:hAnsi="Arial"/>
                <w:b w:val="false"/>
                <w:i w:val="false"/>
                <w:color w:val="333333"/>
                <w:sz w:val="18"/>
              </w:rPr>
              <w:t xml:space="preserve"> C</w:t>
            </w:r>
            <w:r>
              <w:rPr>
                <w:rFonts w:ascii="Arial" w:hAnsi="Arial"/>
                <w:b w:val="false"/>
                <w:i w:val="false"/>
                <w:color w:val="333333"/>
                <w:sz w:val="18"/>
                <w:vertAlign w:val="subscript"/>
              </w:rPr>
              <w:t>i</w:t>
            </w:r>
            <w:r>
              <w:rPr>
                <w:rFonts w:ascii="Arial" w:hAnsi="Arial"/>
                <w:b w:val="false"/>
                <w:i w:val="false"/>
                <w:color w:val="333333"/>
                <w:sz w:val="18"/>
              </w:rPr>
              <w:t>/C</w:t>
            </w:r>
            <w:r>
              <w:rPr>
                <w:rFonts w:ascii="Arial" w:hAnsi="Arial"/>
                <w:b w:val="false"/>
                <w:i w:val="false"/>
                <w:color w:val="333333"/>
                <w:sz w:val="18"/>
                <w:vertAlign w:val="subscript"/>
              </w:rPr>
              <w:t>L,i</w:t>
            </w:r>
            <w:r>
              <w:rPr>
                <w:rFonts w:ascii="Arial" w:hAnsi="Arial"/>
                <w:b w:val="false"/>
                <w:i w:val="false"/>
                <w:color w:val="333333"/>
                <w:sz w:val="18"/>
              </w:rPr>
              <w:t xml:space="preserve"> ≤ 1</w:t>
            </w:r>
          </w:p>
          <w:p>
            <w:pPr>
              <w:spacing w:before="60" w:after="60"/>
              <w:ind w:left="45"/>
              <w:jc w:val="left"/>
            </w:pPr>
            <w:r>
              <w:rPr>
                <w:rFonts w:ascii="Arial" w:hAnsi="Arial"/>
                <w:b w:val="false"/>
                <w:i w:val="false"/>
                <w:color w:val="333333"/>
                <w:sz w:val="18"/>
              </w:rPr>
              <w:t>avec C</w:t>
            </w:r>
            <w:r>
              <w:rPr>
                <w:rFonts w:ascii="Arial" w:hAnsi="Arial"/>
                <w:b w:val="false"/>
                <w:i w:val="false"/>
                <w:color w:val="333333"/>
                <w:sz w:val="18"/>
                <w:vertAlign w:val="subscript"/>
              </w:rPr>
              <w:t>i</w:t>
            </w:r>
            <w:r>
              <w:rPr>
                <w:rFonts w:ascii="Arial" w:hAnsi="Arial"/>
                <w:b w:val="false"/>
                <w:i w:val="false"/>
                <w:color w:val="333333"/>
                <w:sz w:val="18"/>
              </w:rPr>
              <w:t xml:space="preserve"> les valeurs de concentration d'activité du radionucléide i et C</w:t>
            </w:r>
            <w:r>
              <w:rPr>
                <w:rFonts w:ascii="Arial" w:hAnsi="Arial"/>
                <w:b w:val="false"/>
                <w:i w:val="false"/>
                <w:color w:val="333333"/>
                <w:sz w:val="18"/>
                <w:vertAlign w:val="subscript"/>
              </w:rPr>
              <w:t>L,i</w:t>
            </w:r>
            <w:r>
              <w:rPr>
                <w:rFonts w:ascii="Arial" w:hAnsi="Arial"/>
                <w:b w:val="false"/>
                <w:i w:val="false"/>
                <w:color w:val="333333"/>
                <w:sz w:val="18"/>
              </w:rPr>
              <w:t xml:space="preserve"> le niveau correspondant dans le tableau A.</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