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10 Gestion du vieillissement</w:t>
            </w:r>
          </w:p>
          <w:p>
            <w:pPr>
              <w:spacing w:before="0" w:after="0"/>
              <w:ind w:left="45"/>
              <w:jc w:val="left"/>
            </w:pPr>
          </w:p>
          <w:p>
            <w:pPr>
              <w:spacing w:before="0" w:after="0"/>
              <w:ind w:left="45"/>
              <w:jc w:val="left"/>
            </w:pPr>
            <w:r>
              <w:rPr>
                <w:rFonts w:ascii="Arial" w:hAnsi="Arial"/>
                <w:b w:val="false"/>
                <w:i w:val="false"/>
                <w:color w:val="333333"/>
                <w:sz w:val="18"/>
              </w:rPr>
              <w:t xml:space="preserve">10.1 Généralités </w:t>
            </w:r>
          </w:p>
          <w:p>
            <w:pPr>
              <w:spacing w:before="60" w:after="60"/>
              <w:ind w:left="45"/>
              <w:jc w:val="left"/>
            </w:pPr>
            <w:r>
              <w:rPr>
                <w:rFonts w:ascii="Arial" w:hAnsi="Arial"/>
                <w:b w:val="false"/>
                <w:i w:val="false"/>
                <w:color w:val="333333"/>
                <w:sz w:val="18"/>
              </w:rPr>
              <w:t>[L'exploitant dispose d'un programme de gestion du vieillissement. Ce programme comprend l'ensemble des actions organisationnelles, techniques, opérationnelles et de maintenance permettant d'atténuer les effets du vieillissement afin de de conserver la détérioration des structures, systèmes et composants concernés dans des limites acceptables.</w:t>
            </w:r>
          </w:p>
          <w:p>
            <w:pPr>
              <w:spacing w:before="60" w:after="60"/>
              <w:ind w:left="45"/>
              <w:jc w:val="left"/>
            </w:pPr>
            <w:r>
              <w:rPr>
                <w:rFonts w:ascii="Arial" w:hAnsi="Arial"/>
                <w:b w:val="false"/>
                <w:i w:val="false"/>
                <w:color w:val="333333"/>
                <w:sz w:val="18"/>
              </w:rPr>
              <w:t>Les effets de la dégradation due au vieillissement seront évités là où cela est raisonnablement faisable.</w:t>
            </w:r>
          </w:p>
          <w:p>
            <w:pPr>
              <w:spacing w:before="60" w:after="60"/>
              <w:ind w:left="45"/>
              <w:jc w:val="left"/>
            </w:pPr>
            <w:r>
              <w:rPr>
                <w:rFonts w:ascii="Arial" w:hAnsi="Arial"/>
                <w:b w:val="false"/>
                <w:i w:val="false"/>
                <w:color w:val="333333"/>
                <w:sz w:val="18"/>
              </w:rPr>
              <w:t>Les principes et le programme de gestion du vieillissement sont décrits dans le rapport de sûreté.</w:t>
            </w:r>
          </w:p>
          <w:p>
            <w:pPr>
              <w:spacing w:before="0" w:after="0"/>
              <w:ind w:left="45"/>
              <w:jc w:val="left"/>
            </w:pPr>
            <w:r>
              <w:rPr>
                <w:rFonts w:ascii="Arial" w:hAnsi="Arial"/>
                <w:b w:val="false"/>
                <w:i w:val="false"/>
                <w:color w:val="333333"/>
                <w:sz w:val="18"/>
              </w:rPr>
              <w:t>Les structures, systèmes et composants suivants sont concernés par le programme de gestion du vieillissement: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structures, systèmes et composants importants pour la sûreté, 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structures, systèmes et composants dont la dégradation peut affecter la capacité des structures, systèmes et composants importants pour la sûreté à remplir leur fonction.</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principes et le programme de gestion du vieillissement sont décrits dans le rapport de sûreté.</w:t>
            </w:r>
          </w:p>
          <w:p>
            <w:pPr>
              <w:spacing w:before="60" w:after="60"/>
              <w:ind w:left="45"/>
              <w:jc w:val="left"/>
            </w:pPr>
            <w:r>
              <w:rPr>
                <w:rFonts w:ascii="Arial" w:hAnsi="Arial"/>
                <w:b w:val="false"/>
                <w:i w:val="false"/>
                <w:color w:val="333333"/>
                <w:sz w:val="18"/>
              </w:rPr>
              <w:t>Des marges suffisantes doivent être prévues à la conception des systèmes, structures et composants importants pour la sûreté nucléaire afin que les mécanismes de vieillissement ne compromettent pas leur fonction de sûreté tout au long de la durée de vie prévue de l'installation.</w:t>
            </w:r>
          </w:p>
          <w:p>
            <w:pPr>
              <w:spacing w:before="0" w:after="0"/>
              <w:ind w:left="45"/>
              <w:jc w:val="left"/>
            </w:pPr>
          </w:p>
          <w:p>
            <w:pPr>
              <w:spacing w:before="0" w:after="0"/>
              <w:ind w:left="45"/>
              <w:jc w:val="left"/>
            </w:pPr>
            <w:r>
              <w:rPr>
                <w:rFonts w:ascii="Arial" w:hAnsi="Arial"/>
                <w:b w:val="false"/>
                <w:i w:val="false"/>
                <w:color w:val="333333"/>
                <w:sz w:val="18"/>
              </w:rPr>
              <w:t xml:space="preserve">10.2 Méthodologie de la gestion du vieillissement </w:t>
            </w:r>
          </w:p>
          <w:p>
            <w:pPr>
              <w:spacing w:before="0" w:after="0"/>
              <w:ind w:left="45"/>
              <w:jc w:val="left"/>
            </w:pPr>
            <w:r>
              <w:rPr>
                <w:rFonts w:ascii="Arial" w:hAnsi="Arial"/>
                <w:b w:val="false"/>
                <w:i w:val="false"/>
                <w:color w:val="333333"/>
                <w:sz w:val="18"/>
              </w:rPr>
              <w:t>[Le programme de gestion du vieillissement comporte notamment les volets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[L'identification des structures, systèmes et composants concernés;]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[L’identification, l’analyse et la documentation des mécanismes de vieillissement physique pour les systèmes, structures et composants [concernés];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réalisation d’études et d’évaluations des effets potentiels de ces mécanismes sur les systèmes, structures et composants [concernés];]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[L'identification et la réalisation des] vérifications, essais, échantillonnages et activités d'inspection nécessaires qui permettent d'assurer le suivi des effets du vieillissement et de détecter tout comportement imprévu ou détérioration au cours de l'exploitation. Des échantillons permettant de suivre des phénomènes de vieillissement spécifiques doivent être disponibles au sein de l'installation.</w:t>
            </w:r>
          </w:p>
          <w:p>
            <w:pPr>
              <w:spacing w:before="0" w:after="0"/>
              <w:ind w:left="45"/>
              <w:jc w:val="left"/>
            </w:pPr>
          </w:p>
          <w:p>
            <w:pPr>
              <w:spacing w:before="0" w:after="0"/>
              <w:ind w:left="45"/>
              <w:jc w:val="left"/>
            </w:pPr>
            <w:r>
              <w:rPr>
                <w:rFonts w:ascii="Arial" w:hAnsi="Arial"/>
                <w:b w:val="false"/>
                <w:i w:val="false"/>
                <w:color w:val="333333"/>
                <w:sz w:val="18"/>
              </w:rPr>
              <w:t xml:space="preserve">10.3 Révision et mise à jour du programme de gestion du vieillissement </w:t>
            </w:r>
          </w:p>
          <w:p>
            <w:pPr>
              <w:spacing w:before="60" w:after="60"/>
              <w:ind w:left="45"/>
              <w:jc w:val="left"/>
            </w:pPr>
            <w:r>
              <w:rPr>
                <w:rFonts w:ascii="Arial" w:hAnsi="Arial"/>
                <w:b w:val="false"/>
                <w:i w:val="false"/>
                <w:color w:val="333333"/>
                <w:sz w:val="18"/>
              </w:rPr>
              <w:t>L'exploitant doit recueillir et analyser le retour d'expérience de vieillissement de son installation et de celui provenant d'installations similaires.</w:t>
            </w:r>
          </w:p>
          <w:p>
            <w:pPr>
              <w:spacing w:before="60" w:after="60"/>
              <w:ind w:left="45"/>
              <w:jc w:val="left"/>
            </w:pPr>
            <w:r>
              <w:rPr>
                <w:rFonts w:ascii="Arial" w:hAnsi="Arial"/>
                <w:b w:val="false"/>
                <w:i w:val="false"/>
                <w:color w:val="333333"/>
                <w:sz w:val="18"/>
              </w:rPr>
              <w:t>[Sur cette base, l'exploitant évalue l'efficacité de son programme de gestion de vieillissement.]</w:t>
            </w:r>
          </w:p>
          <w:p>
            <w:pPr>
              <w:spacing w:before="60" w:after="60"/>
              <w:ind w:left="45"/>
              <w:jc w:val="left"/>
            </w:pPr>
            <w:r>
              <w:rPr>
                <w:rFonts w:ascii="Arial" w:hAnsi="Arial"/>
                <w:b w:val="false"/>
                <w:i w:val="false"/>
                <w:color w:val="333333"/>
                <w:sz w:val="18"/>
              </w:rPr>
              <w:t>Le programme de gestion du vieillissement doit être réévalué en fonction de nouvelles connaissances [...] en matière de vieillissement, de comportement des systèmes, structures et composants, ainsi qu'en matière de méthodes de vérification. Cette réévaluation a lieu au minimum à l'occasion des révisions périodiques de sûreté.</w:t>
            </w:r>
          </w:p>
          <w:p>
            <w:pPr>
              <w:spacing w:before="60" w:after="60"/>
              <w:ind w:left="45"/>
              <w:jc w:val="left"/>
            </w:pPr>
            <w:r>
              <w:rPr>
                <w:rFonts w:ascii="Arial" w:hAnsi="Arial"/>
                <w:b w:val="false"/>
                <w:i w:val="false"/>
                <w:color w:val="333333"/>
                <w:sz w:val="18"/>
              </w:rPr>
              <w:t>L'évaluation périodique de sûreté doit confirmer que les mécanismes de vieillissement ont été correctement pris en compte par le programme de gestion du vieillissement.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10 Beheer van de veroudering</w:t>
            </w:r>
          </w:p>
          <w:p>
            <w:pPr>
              <w:spacing w:before="0" w:after="0"/>
              <w:ind w:left="45"/>
              <w:jc w:val="left"/>
            </w:pPr>
          </w:p>
          <w:p>
            <w:pPr>
              <w:spacing w:before="0" w:after="0"/>
              <w:ind w:left="45"/>
              <w:jc w:val="left"/>
            </w:pPr>
            <w:r>
              <w:rPr>
                <w:rFonts w:ascii="Arial" w:hAnsi="Arial"/>
                <w:b w:val="false"/>
                <w:i w:val="false"/>
                <w:color w:val="333333"/>
                <w:sz w:val="18"/>
              </w:rPr>
              <w:t xml:space="preserve">10.1 Algemeen </w:t>
            </w:r>
          </w:p>
          <w:p>
            <w:pPr>
              <w:spacing w:before="60" w:after="60"/>
              <w:ind w:left="45"/>
              <w:jc w:val="left"/>
            </w:pPr>
            <w:r>
              <w:rPr>
                <w:rFonts w:ascii="Arial" w:hAnsi="Arial"/>
                <w:b w:val="false"/>
                <w:i w:val="false"/>
                <w:color w:val="333333"/>
                <w:sz w:val="18"/>
              </w:rPr>
              <w:t>[De exploitant beschikt over een programma voor het beheer van de veroudering. Dit programma omvat alle organisatorische, technische, operationele en onderhoudshandelingen waardoor de gevolgen van de veroudering kunnen worden beperkt om zodoende de beschadiging van de betrokken structuren, systemen en componenten binnen aanvaardbare grenzen te houden.</w:t>
            </w:r>
          </w:p>
          <w:p>
            <w:pPr>
              <w:spacing w:before="60" w:after="60"/>
              <w:ind w:left="45"/>
              <w:jc w:val="left"/>
            </w:pPr>
            <w:r>
              <w:rPr>
                <w:rFonts w:ascii="Arial" w:hAnsi="Arial"/>
                <w:b w:val="false"/>
                <w:i w:val="false"/>
                <w:color w:val="333333"/>
                <w:sz w:val="18"/>
              </w:rPr>
              <w:t>De gevolgen van de degradatie door veroudering wordt vermeden daar waar dit redelijkerwijze haalbaar is.</w:t>
            </w:r>
          </w:p>
          <w:p>
            <w:pPr>
              <w:spacing w:before="60" w:after="60"/>
              <w:ind w:left="45"/>
              <w:jc w:val="left"/>
            </w:pPr>
            <w:r>
              <w:rPr>
                <w:rFonts w:ascii="Arial" w:hAnsi="Arial"/>
                <w:b w:val="false"/>
                <w:i w:val="false"/>
                <w:color w:val="333333"/>
                <w:sz w:val="18"/>
              </w:rPr>
              <w:t>De principes van het verouderingsbeheer en het verouderingsbeheerprogramma worden in het veiligheidsrapport beschreven.</w:t>
            </w:r>
          </w:p>
          <w:p>
            <w:pPr>
              <w:spacing w:before="0" w:after="0"/>
              <w:ind w:left="45"/>
              <w:jc w:val="left"/>
            </w:pPr>
            <w:r>
              <w:rPr>
                <w:rFonts w:ascii="Arial" w:hAnsi="Arial"/>
                <w:b w:val="false"/>
                <w:i w:val="false"/>
                <w:color w:val="333333"/>
                <w:sz w:val="18"/>
              </w:rPr>
              <w:t>De volgende structuren, systemen en componenten vallen onder het verouderingsbeheerprogramma: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structuren, systemen en componenten die belangrijk zijn voor de veiligheid, 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structuren, systemen en componenten waarvan de degradatie het vermogen van die structuren, systemen en componenten die belangrijk zijn voor de veiligheid om hun functie te vervullen, kan aantasten.</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Er moeten voldoende marges worden voorzien bij het ontwerp van de structuren, systemen en componenten die belangrijk zijn voor de nucleaire veiligheid zodat deze verouderingsmechanismen hun veiligheidsfunctie gedurende de ganse voorziene levensduur van de installatie niet in gevaar brengen.</w:t>
            </w:r>
          </w:p>
          <w:p>
            <w:pPr>
              <w:spacing w:before="0" w:after="0"/>
              <w:ind w:left="45"/>
              <w:jc w:val="left"/>
            </w:pPr>
          </w:p>
          <w:p>
            <w:pPr>
              <w:spacing w:before="0" w:after="0"/>
              <w:ind w:left="45"/>
              <w:jc w:val="left"/>
            </w:pPr>
            <w:r>
              <w:rPr>
                <w:rFonts w:ascii="Arial" w:hAnsi="Arial"/>
                <w:b w:val="false"/>
                <w:i w:val="false"/>
                <w:color w:val="333333"/>
                <w:sz w:val="18"/>
              </w:rPr>
              <w:t xml:space="preserve">10.2 Methodologie van het verouderingsbeheer </w:t>
            </w:r>
          </w:p>
          <w:p>
            <w:pPr>
              <w:spacing w:before="0" w:after="0"/>
              <w:ind w:left="45"/>
              <w:jc w:val="left"/>
            </w:pPr>
            <w:r>
              <w:rPr>
                <w:rFonts w:ascii="Arial" w:hAnsi="Arial"/>
                <w:b w:val="false"/>
                <w:i w:val="false"/>
                <w:color w:val="333333"/>
                <w:sz w:val="18"/>
              </w:rPr>
              <w:t>[Het verouderingsbeheerprogramma omvat met name de volgende onderdelen]: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identificatie van de betrokken structuren, systemen en componenten;]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fysieke identificatie, analyse en documentatie van fysieke verouderingsmechanismen voor [de betrokken] systemen, structuren en componenten;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uitvoering van studies en evaluaties van de potentiële effecten van deze mechanismen op de [betrokken] structuren, systemen en componenten;]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[identificatie en de uitvoering van de] verificaties, testen, bemonsteringen en inspectieactiviteiten die toelaten om de gevolgen van een veroudering op te kunnen volgen en om elk onvoorzien gedrag of elke verslechtering tijdens de uitbating te kunnen detecteren. Stalen op basis waarvan specifieke verouderingsfenomenen kunnen worden opgevolgd, moeten in de installatie beschikbaar zijn.</w:t>
            </w:r>
          </w:p>
          <w:p>
            <w:pPr>
              <w:spacing w:before="0" w:after="0"/>
              <w:ind w:left="45"/>
              <w:jc w:val="left"/>
            </w:pPr>
          </w:p>
          <w:p>
            <w:pPr>
              <w:spacing w:before="0" w:after="0"/>
              <w:ind w:left="45"/>
              <w:jc w:val="left"/>
            </w:pPr>
            <w:r>
              <w:rPr>
                <w:rFonts w:ascii="Arial" w:hAnsi="Arial"/>
                <w:b w:val="false"/>
                <w:i w:val="false"/>
                <w:color w:val="333333"/>
                <w:sz w:val="18"/>
              </w:rPr>
              <w:t xml:space="preserve">10.3 Herziening en bijwerking van het verouderingsbeheerprogramma </w:t>
            </w:r>
          </w:p>
          <w:p>
            <w:pPr>
              <w:spacing w:before="60" w:after="60"/>
              <w:ind w:left="45"/>
              <w:jc w:val="left"/>
            </w:pPr>
            <w:r>
              <w:rPr>
                <w:rFonts w:ascii="Arial" w:hAnsi="Arial"/>
                <w:b w:val="false"/>
                <w:i w:val="false"/>
                <w:color w:val="333333"/>
                <w:sz w:val="18"/>
              </w:rPr>
              <w:t>De exploitant moet de ervaringsfeedback over de veroudering van zijn installatie bundelen en analyseren, evenals deze van gelijkaardige installaties.</w:t>
            </w:r>
          </w:p>
          <w:p>
            <w:pPr>
              <w:spacing w:before="60" w:after="60"/>
              <w:ind w:left="45"/>
              <w:jc w:val="left"/>
            </w:pPr>
            <w:r>
              <w:rPr>
                <w:rFonts w:ascii="Arial" w:hAnsi="Arial"/>
                <w:b w:val="false"/>
                <w:i w:val="false"/>
                <w:color w:val="333333"/>
                <w:sz w:val="18"/>
              </w:rPr>
              <w:t>[Op basis hiervan evalueert de exploitant de doeltreffendheid van zijn verouderingsbeheerprogramma.]</w:t>
            </w:r>
          </w:p>
          <w:p>
            <w:pPr>
              <w:spacing w:before="60" w:after="60"/>
              <w:ind w:left="45"/>
              <w:jc w:val="left"/>
            </w:pPr>
            <w:r>
              <w:rPr>
                <w:rFonts w:ascii="Arial" w:hAnsi="Arial"/>
                <w:b w:val="false"/>
                <w:i w:val="false"/>
                <w:color w:val="333333"/>
                <w:sz w:val="18"/>
              </w:rPr>
              <w:t>Het verouderingsbeheerprogramma moet geherevalueerd worden op basis van de nieuwe kennis [...] inzake de veroudering, het gedrag van de structuren, systemen en componenten, alsook met betrekking tot de verificatiemethodes. Deze herevaluatie vindt plaats minimaal ter gelegenheid van de periodieke veiligheidsherzieningen</w:t>
            </w:r>
          </w:p>
          <w:p>
            <w:pPr>
              <w:spacing w:before="60" w:after="60"/>
              <w:ind w:left="45"/>
              <w:jc w:val="left"/>
            </w:pPr>
            <w:r>
              <w:rPr>
                <w:rFonts w:ascii="Arial" w:hAnsi="Arial"/>
                <w:b w:val="false"/>
                <w:i w:val="false"/>
                <w:color w:val="333333"/>
                <w:sz w:val="18"/>
              </w:rPr>
              <w:t>De periodieke veiligheidsherziening moet bevestigen dat er met de verouderingsmechanismen in het verouderingsbeheerprogramma correct rekening werd gehouden.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