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 Organisatie van de uitbating</w:t>
            </w:r>
          </w:p>
          <w:p>
            <w:pPr>
              <w:spacing w:before="0" w:after="0"/>
              <w:ind w:left="45"/>
              <w:jc w:val="left"/>
            </w:pPr>
          </w:p>
          <w:p>
            <w:pPr>
              <w:spacing w:before="0" w:after="0"/>
              <w:ind w:left="45"/>
              <w:jc w:val="left"/>
            </w:pPr>
            <w:r>
              <w:rPr>
                <w:rFonts w:ascii="Arial" w:hAnsi="Arial"/>
                <w:b w:val="false"/>
                <w:i w:val="false"/>
                <w:color w:val="333333"/>
                <w:sz w:val="18"/>
              </w:rPr>
              <w:t xml:space="preserve">4.1 Organisatiestructuur </w:t>
            </w:r>
          </w:p>
          <w:p>
            <w:pPr>
              <w:spacing w:before="60" w:after="60"/>
              <w:ind w:left="45"/>
              <w:jc w:val="left"/>
            </w:pPr>
            <w:r>
              <w:rPr>
                <w:rFonts w:ascii="Arial" w:hAnsi="Arial"/>
                <w:b w:val="false"/>
                <w:i w:val="false"/>
                <w:color w:val="333333"/>
                <w:sz w:val="18"/>
              </w:rPr>
              <w:t>De exploitant documenteert en rechtvaardigt zijn organisatiestructuur door het preciseren van het algemeen beleid, de verantwoordelijkheids- en beleidslijnen, de interne communicatienetwerken, de taken en het aantal vereiste personeelsleden dat toelaat om de algemene vereisten voor een veilige en betrouwbare uitbating van zijn installatie(s) na te kunnen leven en dit zowel in [alle bedrijfstoestanden] als in ongevalsomstandigheden.</w:t>
            </w:r>
          </w:p>
          <w:p>
            <w:pPr>
              <w:spacing w:before="60" w:after="60"/>
              <w:ind w:left="45"/>
              <w:jc w:val="left"/>
            </w:pPr>
            <w:r>
              <w:rPr>
                <w:rFonts w:ascii="Arial" w:hAnsi="Arial"/>
                <w:b w:val="false"/>
                <w:i w:val="false"/>
                <w:color w:val="333333"/>
                <w:sz w:val="18"/>
              </w:rPr>
              <w:t>In het bijzonder worden de hiërarchische verbanden en communicatielijnen tussen alle verantwoordelijken voor zaken die een impact hebben op de nucleaire veiligheid van de installatie [en tussen de verantwoordelijken voor de fysieke beveiliging,] duidelijk gedefinieerd en gedocumenteerd.</w:t>
            </w:r>
          </w:p>
          <w:p>
            <w:pPr>
              <w:spacing w:before="0" w:after="0"/>
              <w:ind w:left="45"/>
              <w:jc w:val="left"/>
            </w:pPr>
          </w:p>
          <w:p>
            <w:pPr>
              <w:spacing w:before="0" w:after="0"/>
              <w:ind w:left="45"/>
              <w:jc w:val="left"/>
            </w:pPr>
            <w:r>
              <w:rPr>
                <w:rFonts w:ascii="Arial" w:hAnsi="Arial"/>
                <w:b w:val="false"/>
                <w:i w:val="false"/>
                <w:color w:val="333333"/>
                <w:sz w:val="18"/>
              </w:rPr>
              <w:t xml:space="preserve">4.2 Beheer van de nucleaire veiligheid </w:t>
            </w:r>
          </w:p>
          <w:p>
            <w:pPr>
              <w:spacing w:before="60" w:after="60"/>
              <w:ind w:left="45"/>
              <w:jc w:val="left"/>
            </w:pPr>
            <w:r>
              <w:rPr>
                <w:rFonts w:ascii="Arial" w:hAnsi="Arial"/>
                <w:b w:val="false"/>
                <w:i w:val="false"/>
                <w:color w:val="333333"/>
                <w:sz w:val="18"/>
              </w:rPr>
              <w:t>De exploitant baat zijn installatie(s) op een veilige manier uit, conform de wettelijke en reglementaire vereisten, en ook conform de voorwaarden vervat in zijn oprichtings- en exploitatievergunning.</w:t>
            </w:r>
          </w:p>
          <w:p>
            <w:pPr>
              <w:spacing w:before="60" w:after="60"/>
              <w:ind w:left="45"/>
              <w:jc w:val="left"/>
            </w:pPr>
            <w:r>
              <w:rPr>
                <w:rFonts w:ascii="Arial" w:hAnsi="Arial"/>
                <w:b w:val="false"/>
                <w:i w:val="false"/>
                <w:color w:val="333333"/>
                <w:sz w:val="18"/>
              </w:rPr>
              <w:t>In het kader van een stapsgewijze benadering zorgt de exploitant er voor dat zijn beslissingen met betrekking tot de nucleaire veiligheid stelselmatig voorafgegaan worden door een voldoende grondig onderzoek door gekwalificeerd en ervaren personeel, om er zich van te vergewissen dat alle relevante aspecten van de nucleaire veiligheid in beschouwing genomen werden.</w:t>
            </w:r>
          </w:p>
          <w:p>
            <w:pPr>
              <w:spacing w:before="60" w:after="60"/>
              <w:ind w:left="45"/>
              <w:jc w:val="left"/>
            </w:pPr>
            <w:r>
              <w:rPr>
                <w:rFonts w:ascii="Arial" w:hAnsi="Arial"/>
                <w:b w:val="false"/>
                <w:i w:val="false"/>
                <w:color w:val="333333"/>
                <w:sz w:val="18"/>
              </w:rPr>
              <w:t>De veiligheidsevaluaties worden gedocumenteerd en maken, volgens een stapsgewijze benadering, het voorwerp uit van een nazicht door een geschikte onafhankelijke, interne of externe, door de exploitant georganiseerde expertise.</w:t>
            </w:r>
          </w:p>
          <w:p>
            <w:pPr>
              <w:spacing w:before="60" w:after="60"/>
              <w:ind w:left="45"/>
              <w:jc w:val="left"/>
            </w:pPr>
            <w:r>
              <w:rPr>
                <w:rFonts w:ascii="Arial" w:hAnsi="Arial"/>
                <w:b w:val="false"/>
                <w:i w:val="false"/>
                <w:color w:val="333333"/>
                <w:sz w:val="18"/>
              </w:rPr>
              <w:t>De rekenmethodes en -programma's die bij de veiligheidsanalyses gebruikt worden moeten geverifieerd en gevalideerd zijn.</w:t>
            </w:r>
          </w:p>
          <w:p>
            <w:pPr>
              <w:spacing w:before="60" w:after="60"/>
              <w:ind w:left="45"/>
              <w:jc w:val="left"/>
            </w:pPr>
            <w:r>
              <w:rPr>
                <w:rFonts w:ascii="Arial" w:hAnsi="Arial"/>
                <w:b w:val="false"/>
                <w:i w:val="false"/>
                <w:color w:val="333333"/>
                <w:sz w:val="18"/>
              </w:rPr>
              <w:t>De exploitant is verantwoordelijk voor het ter beschikking stellen van alle middelen en het realiseren van de arbeidsvoorwaarden die nodig zijn om de taken op een veilige manier uit te voeren.</w:t>
            </w:r>
          </w:p>
          <w:p>
            <w:pPr>
              <w:spacing w:before="60" w:after="60"/>
              <w:ind w:left="45"/>
              <w:jc w:val="left"/>
            </w:pPr>
            <w:r>
              <w:rPr>
                <w:rFonts w:ascii="Arial" w:hAnsi="Arial"/>
                <w:b w:val="false"/>
                <w:i w:val="false"/>
                <w:color w:val="333333"/>
                <w:sz w:val="18"/>
              </w:rPr>
              <w:t>De exploitant stelt een geschikt systeem van toezicht op zijn prestaties op het gebied van de nucleaire veiligheid in, om zich ervan te vergewissen dat de van kracht zijnde veiligheidsregels worden nageleefd en het veiligheidsniveau wordt verbeterd.</w:t>
            </w:r>
          </w:p>
          <w:p>
            <w:pPr>
              <w:spacing w:before="60" w:after="60"/>
              <w:ind w:left="45"/>
              <w:jc w:val="left"/>
            </w:pPr>
            <w:r>
              <w:rPr>
                <w:rFonts w:ascii="Arial" w:hAnsi="Arial"/>
                <w:b w:val="false"/>
                <w:i w:val="false"/>
                <w:color w:val="333333"/>
                <w:sz w:val="18"/>
              </w:rPr>
              <w:t>De exploitant trekt lessen uit de nationale en internationale ervarings-feedback, uit de ontwikkeling van de regels inzake nucleaire veiligheid en uit de nieuwe kennis verkregen door onderzoeks- en ontwikkelingsprogramma's, om het niveau van de nucleaire veiligheid te behouden en zoveel mogelijk te verbeteren.</w:t>
            </w:r>
          </w:p>
          <w:p>
            <w:pPr>
              <w:spacing w:before="0" w:after="0"/>
              <w:ind w:left="45"/>
              <w:jc w:val="left"/>
            </w:pPr>
          </w:p>
          <w:p>
            <w:pPr>
              <w:spacing w:before="0" w:after="0"/>
              <w:ind w:left="45"/>
              <w:jc w:val="left"/>
            </w:pPr>
            <w:r>
              <w:rPr>
                <w:rFonts w:ascii="Arial" w:hAnsi="Arial"/>
                <w:b w:val="false"/>
                <w:i w:val="false"/>
                <w:color w:val="333333"/>
                <w:sz w:val="18"/>
              </w:rPr>
              <w:t xml:space="preserve">4.3 Personeelsbezetting en deskundigheid </w:t>
            </w:r>
          </w:p>
          <w:p>
            <w:pPr>
              <w:spacing w:before="60" w:after="60"/>
              <w:ind w:left="45"/>
              <w:jc w:val="left"/>
            </w:pPr>
            <w:r>
              <w:rPr>
                <w:rFonts w:ascii="Arial" w:hAnsi="Arial"/>
                <w:b w:val="false"/>
                <w:i w:val="false"/>
                <w:color w:val="333333"/>
                <w:sz w:val="18"/>
              </w:rPr>
              <w:t>Op basis van de gedetailleerde analyse van de uit te voeren taken en activiteiten verbonden met de nucleaire veiligheid moeten de gepaste eisen met betrekking tot het aantal personeelsleden, hun kwalificatie en permanente vorming op de verschillende niveaus van de organisatie, op systematische wijze vastgelegd en gedocumenteerd worden.</w:t>
            </w:r>
          </w:p>
          <w:p>
            <w:pPr>
              <w:spacing w:before="60" w:after="60"/>
              <w:ind w:left="45"/>
              <w:jc w:val="left"/>
            </w:pPr>
            <w:r>
              <w:rPr>
                <w:rFonts w:ascii="Arial" w:hAnsi="Arial"/>
                <w:b w:val="false"/>
                <w:i w:val="false"/>
                <w:color w:val="333333"/>
                <w:sz w:val="18"/>
              </w:rPr>
              <w:t>Regelmatig moet geverifieerd en gedocumenteerd worden of deze vereisten een veilige uitbating van de installatie toelaten.</w:t>
            </w:r>
          </w:p>
          <w:p>
            <w:pPr>
              <w:spacing w:before="60" w:after="60"/>
              <w:ind w:left="45"/>
              <w:jc w:val="left"/>
            </w:pPr>
            <w:r>
              <w:rPr>
                <w:rFonts w:ascii="Arial" w:hAnsi="Arial"/>
                <w:b w:val="false"/>
                <w:i w:val="false"/>
                <w:color w:val="333333"/>
                <w:sz w:val="18"/>
              </w:rPr>
              <w:t>De exploitant werkt voor het personeelsbeheer een systematisch en gedocumenteerd programma uit dat verbonden is met de langetermijn-doelstellingen om te anticiperen op de toekomstige personeelsbehoeften. Dit programma houdt rekening met de voorziene wijzigingen van de personeelsbezetting, met aanstellingen om de beroepservaring te verrijken en het omvat een prognose van de personeelsbehoeften, waarbij rekening gehouden wordt met de oppensioenstellingen en overplaatsingen die het personeelsbestand verminderen.</w:t>
            </w:r>
          </w:p>
          <w:p>
            <w:pPr>
              <w:spacing w:before="60" w:after="60"/>
              <w:ind w:left="45"/>
              <w:jc w:val="left"/>
            </w:pPr>
            <w:r>
              <w:rPr>
                <w:rFonts w:ascii="Arial" w:hAnsi="Arial"/>
                <w:b w:val="false"/>
                <w:i w:val="false"/>
                <w:color w:val="333333"/>
                <w:sz w:val="18"/>
              </w:rPr>
              <w:t>De doorgevoerde wijzigingen op het gebied van het personeel of de organisatie van de exploitatie beschreven in het veiligheidsrapport, moeten het voorwerp uitmaken van een voorafgaande analyse en rechtvaardiging. Deze wijzigingen moeten tijdens en na hun uitvoering worden opgevolgd, ten einde er zich van te vergewissen dat ze de nucleaire veiligheid niet in gevaar brengen.</w:t>
            </w:r>
          </w:p>
          <w:p>
            <w:pPr>
              <w:spacing w:before="60" w:after="60"/>
              <w:ind w:left="45"/>
              <w:jc w:val="left"/>
            </w:pPr>
            <w:r>
              <w:rPr>
                <w:rFonts w:ascii="Arial" w:hAnsi="Arial"/>
                <w:b w:val="false"/>
                <w:i w:val="false"/>
                <w:color w:val="333333"/>
                <w:sz w:val="18"/>
              </w:rPr>
              <w:t>[De exploitant moet over een voldoend aantal gekwalificeerde personeelsleden beschikken die de actuele toestand en de werking van de installatie kennen en die het ontwerp ervan begrijpen.]</w:t>
            </w:r>
          </w:p>
          <w:p>
            <w:pPr>
              <w:spacing w:before="60" w:after="60"/>
              <w:ind w:left="45"/>
              <w:jc w:val="left"/>
            </w:pPr>
            <w:r>
              <w:rPr>
                <w:rFonts w:ascii="Arial" w:hAnsi="Arial"/>
                <w:b w:val="false"/>
                <w:i w:val="false"/>
                <w:color w:val="333333"/>
                <w:sz w:val="18"/>
              </w:rPr>
              <w:t>De exploitant moet voldoende opgeleide personeelsleden in dienst hebben die de vereiste kennis en deskundigheid bezitten om het werk dat door personeel in onderaanneming wordt uitgevoerd te specificeren, te beheren, op te volgen en te evalueren op het gebied van de nucleaire veiligheid.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 Organisation de l'exploitation</w:t>
            </w:r>
          </w:p>
          <w:p>
            <w:pPr>
              <w:spacing w:before="0" w:after="0"/>
              <w:ind w:left="45"/>
              <w:jc w:val="left"/>
            </w:pPr>
          </w:p>
          <w:p>
            <w:pPr>
              <w:spacing w:before="0" w:after="0"/>
              <w:ind w:left="45"/>
              <w:jc w:val="left"/>
            </w:pPr>
            <w:r>
              <w:rPr>
                <w:rFonts w:ascii="Arial" w:hAnsi="Arial"/>
                <w:b w:val="false"/>
                <w:i w:val="false"/>
                <w:color w:val="333333"/>
                <w:sz w:val="18"/>
              </w:rPr>
              <w:t xml:space="preserve">4.1 Structure organisationnelle </w:t>
            </w:r>
          </w:p>
          <w:p>
            <w:pPr>
              <w:spacing w:before="60" w:after="60"/>
              <w:ind w:left="45"/>
              <w:jc w:val="left"/>
            </w:pPr>
            <w:r>
              <w:rPr>
                <w:rFonts w:ascii="Arial" w:hAnsi="Arial"/>
                <w:b w:val="false"/>
                <w:i w:val="false"/>
                <w:color w:val="333333"/>
                <w:sz w:val="18"/>
              </w:rPr>
              <w:t>L'exploitant documente et justifie sa structure organisationnelle en précisant les politiques générales, les axes de responsabilité et d'autorité, les réseaux internes de communication, les tâches et le nombre d'agents nécessaires, qu'il met en place afin de respecter les exigences générales concernant l'exploitation sûre et fiable de son(ses) installation(s), à la fois dans [tous les états opérationnels] et en situations accidentelles.</w:t>
            </w:r>
          </w:p>
          <w:p>
            <w:pPr>
              <w:spacing w:before="60" w:after="60"/>
              <w:ind w:left="45"/>
              <w:jc w:val="left"/>
            </w:pPr>
            <w:r>
              <w:rPr>
                <w:rFonts w:ascii="Arial" w:hAnsi="Arial"/>
                <w:b w:val="false"/>
                <w:i w:val="false"/>
                <w:color w:val="333333"/>
                <w:sz w:val="18"/>
              </w:rPr>
              <w:t>En particulier, les liens hiérarchiques et les lignes de communication entre tous les responsables de questions ayant un impact sur la sûreté nucléaire de l'installation [et entre les responsables pour la protection physique] sont clairement définis et documentés.</w:t>
            </w:r>
          </w:p>
          <w:p>
            <w:pPr>
              <w:spacing w:before="0" w:after="0"/>
              <w:ind w:left="45"/>
              <w:jc w:val="left"/>
            </w:pPr>
          </w:p>
          <w:p>
            <w:pPr>
              <w:spacing w:before="0" w:after="0"/>
              <w:ind w:left="45"/>
              <w:jc w:val="left"/>
            </w:pPr>
            <w:r>
              <w:rPr>
                <w:rFonts w:ascii="Arial" w:hAnsi="Arial"/>
                <w:b w:val="false"/>
                <w:i w:val="false"/>
                <w:color w:val="333333"/>
                <w:sz w:val="18"/>
              </w:rPr>
              <w:t xml:space="preserve">4.2 Gestion de la sûreté nucléaire </w:t>
            </w:r>
          </w:p>
          <w:p>
            <w:pPr>
              <w:spacing w:before="60" w:after="60"/>
              <w:ind w:left="45"/>
              <w:jc w:val="left"/>
            </w:pPr>
            <w:r>
              <w:rPr>
                <w:rFonts w:ascii="Arial" w:hAnsi="Arial"/>
                <w:b w:val="false"/>
                <w:i w:val="false"/>
                <w:color w:val="333333"/>
                <w:sz w:val="18"/>
              </w:rPr>
              <w:t>L'exploitant opère son(ses) installation(s) d'une manière sûre, en conformité avec les exigences légales et réglementaires, ainsi qu'en respectant les conditions de son autorisation de création et d'exploitation.</w:t>
            </w:r>
          </w:p>
          <w:p>
            <w:pPr>
              <w:spacing w:before="60" w:after="60"/>
              <w:ind w:left="45"/>
              <w:jc w:val="left"/>
            </w:pPr>
            <w:r>
              <w:rPr>
                <w:rFonts w:ascii="Arial" w:hAnsi="Arial"/>
                <w:b w:val="false"/>
                <w:i w:val="false"/>
                <w:color w:val="333333"/>
                <w:sz w:val="18"/>
              </w:rPr>
              <w:t>L'exploitant prend des dispositions, dans le cadre d'une approche graduée, pour que ses décisions en matière de sûreté nucléaire soient systématiquement précédées d'un examen suffisamment approfondi par du personnel qualifié et expérimenté afin de s'assurer que tous les aspects pertinents relatifs à la sûreté nucléaire sont bien considérés,</w:t>
            </w:r>
          </w:p>
          <w:p>
            <w:pPr>
              <w:spacing w:before="60" w:after="60"/>
              <w:ind w:left="45"/>
              <w:jc w:val="left"/>
            </w:pPr>
            <w:r>
              <w:rPr>
                <w:rFonts w:ascii="Arial" w:hAnsi="Arial"/>
                <w:b w:val="false"/>
                <w:i w:val="false"/>
                <w:color w:val="333333"/>
                <w:sz w:val="18"/>
              </w:rPr>
              <w:t>Les évaluations de sûreté sont documentées et font l'objet d'une revue, suivant une approche graduée, par une expertise indépendante appropriée, interne ou externe, organisée par l'exploitant.</w:t>
            </w:r>
          </w:p>
          <w:p>
            <w:pPr>
              <w:spacing w:before="60" w:after="60"/>
              <w:ind w:left="45"/>
              <w:jc w:val="left"/>
            </w:pPr>
            <w:r>
              <w:rPr>
                <w:rFonts w:ascii="Arial" w:hAnsi="Arial"/>
                <w:b w:val="false"/>
                <w:i w:val="false"/>
                <w:color w:val="333333"/>
                <w:sz w:val="18"/>
              </w:rPr>
              <w:t>Les méthodes et codes de calcul utilisés dans les analyses de sûreté doivent avoir été vérifiés et validés.</w:t>
            </w:r>
          </w:p>
          <w:p>
            <w:pPr>
              <w:spacing w:before="60" w:after="60"/>
              <w:ind w:left="45"/>
              <w:jc w:val="left"/>
            </w:pPr>
            <w:r>
              <w:rPr>
                <w:rFonts w:ascii="Arial" w:hAnsi="Arial"/>
                <w:b w:val="false"/>
                <w:i w:val="false"/>
                <w:color w:val="333333"/>
                <w:sz w:val="18"/>
              </w:rPr>
              <w:t>L'exploitant est responsable de la mise à disposition de tous les moyens et de la mise en place des conditions de travail nécessaires en vue de la réalisation des tâches de manière sûre.</w:t>
            </w:r>
          </w:p>
          <w:p>
            <w:pPr>
              <w:spacing w:before="60" w:after="60"/>
              <w:ind w:left="45"/>
              <w:jc w:val="left"/>
            </w:pPr>
            <w:r>
              <w:rPr>
                <w:rFonts w:ascii="Arial" w:hAnsi="Arial"/>
                <w:b w:val="false"/>
                <w:i w:val="false"/>
                <w:color w:val="333333"/>
                <w:sz w:val="18"/>
              </w:rPr>
              <w:t>L'exploitant met en place un système de surveillance approprié de sa performance en matière de sûreté nucléaire afin de s'assurer du respect des règles de sûreté en vigueur et de l'amélioration du niveau de sûreté.</w:t>
            </w:r>
          </w:p>
          <w:p>
            <w:pPr>
              <w:spacing w:before="60" w:after="60"/>
              <w:ind w:left="45"/>
              <w:jc w:val="left"/>
            </w:pPr>
            <w:r>
              <w:rPr>
                <w:rFonts w:ascii="Arial" w:hAnsi="Arial"/>
                <w:b w:val="false"/>
                <w:i w:val="false"/>
                <w:color w:val="333333"/>
                <w:sz w:val="18"/>
              </w:rPr>
              <w:t>L'exploitant tire les leçons du retour d'expérience d'exploitation national et international, du développement des règles de sûreté nucléaire, et des nouvelles connaissances issues de programmes de recherche et développement, afin de maintenir le niveau de la sûreté nucléaire et de l'améliorer autant que faire se peut.</w:t>
            </w:r>
          </w:p>
          <w:p>
            <w:pPr>
              <w:spacing w:before="0" w:after="0"/>
              <w:ind w:left="45"/>
              <w:jc w:val="left"/>
            </w:pPr>
          </w:p>
          <w:p>
            <w:pPr>
              <w:spacing w:before="0" w:after="0"/>
              <w:ind w:left="45"/>
              <w:jc w:val="left"/>
            </w:pPr>
            <w:r>
              <w:rPr>
                <w:rFonts w:ascii="Arial" w:hAnsi="Arial"/>
                <w:b w:val="false"/>
                <w:i w:val="false"/>
                <w:color w:val="333333"/>
                <w:sz w:val="18"/>
              </w:rPr>
              <w:t xml:space="preserve">4.3 Effectifs et compétence </w:t>
            </w:r>
          </w:p>
          <w:p>
            <w:pPr>
              <w:spacing w:before="60" w:after="60"/>
              <w:ind w:left="45"/>
              <w:jc w:val="left"/>
            </w:pPr>
            <w:r>
              <w:rPr>
                <w:rFonts w:ascii="Arial" w:hAnsi="Arial"/>
                <w:b w:val="false"/>
                <w:i w:val="false"/>
                <w:color w:val="333333"/>
                <w:sz w:val="18"/>
              </w:rPr>
              <w:t>Sur base de l'analyse détaillée des tâches et des activités liées à la sûreté nucléaire à exécuter, les exigences appropriées concernant les effectifs, leur qualification et leur formation continue aux différents niveaux de l'organisation doivent être déterminées et documentées d'une manière systématique.</w:t>
            </w:r>
          </w:p>
          <w:p>
            <w:pPr>
              <w:spacing w:before="60" w:after="60"/>
              <w:ind w:left="45"/>
              <w:jc w:val="left"/>
            </w:pPr>
            <w:r>
              <w:rPr>
                <w:rFonts w:ascii="Arial" w:hAnsi="Arial"/>
                <w:b w:val="false"/>
                <w:i w:val="false"/>
                <w:color w:val="333333"/>
                <w:sz w:val="18"/>
              </w:rPr>
              <w:t>L'adéquation de ces exigences pour une exploitation sûre de l'installation doit être vérifiée et documentée de manière régulière.</w:t>
            </w:r>
          </w:p>
          <w:p>
            <w:pPr>
              <w:spacing w:before="60" w:after="60"/>
              <w:ind w:left="45"/>
              <w:jc w:val="left"/>
            </w:pPr>
            <w:r>
              <w:rPr>
                <w:rFonts w:ascii="Arial" w:hAnsi="Arial"/>
                <w:b w:val="false"/>
                <w:i w:val="false"/>
                <w:color w:val="333333"/>
                <w:sz w:val="18"/>
              </w:rPr>
              <w:t>L'exploitant élabore un programme systématique et documenté de gestion des ressources humaines, lié aux objectifs à long terme afin d'anticiper les besoins futurs en personnel. Ce programme tient compte des modifications prévues de l'effectif, des affectations visant à enrichir l'expérience professionnelle, et inclut une prévision des besoins en personnel tenant compte des départs à la retraite et d'autres mouvements de réduction prévisibles.</w:t>
            </w:r>
          </w:p>
          <w:p>
            <w:pPr>
              <w:spacing w:before="60" w:after="60"/>
              <w:ind w:left="45"/>
              <w:jc w:val="left"/>
            </w:pPr>
            <w:r>
              <w:rPr>
                <w:rFonts w:ascii="Arial" w:hAnsi="Arial"/>
                <w:b w:val="false"/>
                <w:i w:val="false"/>
                <w:color w:val="333333"/>
                <w:sz w:val="18"/>
              </w:rPr>
              <w:t>Les modifications apportées au niveau des effectifs ou à l'organisation de l'exploitation décrits dans le rapport de sûreté doivent faire l'objet d'une analyse et d'une justification préalables. Ces modifications doivent être suivies pendant leur mise en œuvre et évaluées après implémentation, afin de s'assurer qu'elles ne compromettent pas la sûreté nucléaire.</w:t>
            </w:r>
          </w:p>
          <w:p>
            <w:pPr>
              <w:spacing w:before="60" w:after="60"/>
              <w:ind w:left="45"/>
              <w:jc w:val="left"/>
            </w:pPr>
            <w:r>
              <w:rPr>
                <w:rFonts w:ascii="Arial" w:hAnsi="Arial"/>
                <w:b w:val="false"/>
                <w:i w:val="false"/>
                <w:color w:val="333333"/>
                <w:sz w:val="18"/>
              </w:rPr>
              <w:t>[L'exploitant doit disposer de ressources suffisantes en personnel qualifié connaissant l'état actuel et le fonctionnement de l'installation et comprenant sa conception.]</w:t>
            </w:r>
          </w:p>
          <w:p>
            <w:pPr>
              <w:spacing w:before="60" w:after="60"/>
              <w:ind w:left="45"/>
              <w:jc w:val="left"/>
            </w:pPr>
            <w:r>
              <w:rPr>
                <w:rFonts w:ascii="Arial" w:hAnsi="Arial"/>
                <w:b w:val="false"/>
                <w:i w:val="false"/>
                <w:color w:val="333333"/>
                <w:sz w:val="18"/>
              </w:rPr>
              <w:t>L'exploitant doit avoir à son service suffisamment d'agents formés possédant les connaissances et les compétences nécessaires pour spécifier, gérer, suivre et évaluer, au niveau de la sûreté nucléaire, le travail effectué par du personnel employé en sous-traitance.</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