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02/04/13 Vaststelling vrijgaveniveau voor Ba-133ter</w:t>
            </w:r>
            <w:r>
              <w:br/>
            </w:r>
            <w:r>
              <w:rPr>
                <w:rFonts w:ascii="Arial" w:hAnsi="Arial"/>
                <w:b/>
                <w:i w:val="false"/>
                <w:color w:val="333333"/>
              </w:rPr>
              <w:t>Besluit van het Federaal Agentschap voor Nucleaire Controle van 2 april 2013 tot vaststelling van het vrijgaveniveau voor Ba-133ter aanvulling van tabel A van bijlage IB van het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 bijlage IB;</w:t>
            </w:r>
          </w:p>
          <w:p>
            <w:pPr>
              <w:spacing w:before="0" w:after="0"/>
              <w:ind w:left="45"/>
              <w:jc w:val="left"/>
            </w:pPr>
            <w:r>
              <w:rPr>
                <w:rFonts w:ascii="Arial" w:hAnsi="Arial"/>
                <w:b w:val="false"/>
                <w:i w:val="false"/>
                <w:color w:val="333333"/>
                <w:sz w:val="18"/>
              </w:rPr>
              <w:t>Overwegende dat het vrijgaveniveau voor het radionuclide Ba-133 werd berekend volgens de methodologie die beschreven is in het rapport "Radiation Protection 122, Practical use of the concepts of clearance and exemption; part I, Guidance on general clearance levels for practices", dat in 2000 door de Europese Commissie werd gepubliceerd,</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02/04/13 Niveau de libération pour le Ba-133ter</w:t>
            </w:r>
            <w:r>
              <w:br/>
            </w:r>
            <w:r>
              <w:rPr>
                <w:rFonts w:ascii="Arial" w:hAnsi="Arial"/>
                <w:b/>
                <w:i w:val="false"/>
                <w:color w:val="333333"/>
              </w:rPr>
              <w:t>Arrêté de l'Agence fédérale de Contrôle nucléaire du 2 avril 2013 fixant le niveau de libération pour le Ba-133, en complément du tableau A de l'annexe I.reB du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 annexe I.reB;</w:t>
            </w:r>
          </w:p>
          <w:p>
            <w:pPr>
              <w:spacing w:before="0" w:after="0"/>
              <w:ind w:left="45"/>
              <w:jc w:val="left"/>
            </w:pPr>
            <w:r>
              <w:rPr>
                <w:rFonts w:ascii="Arial" w:hAnsi="Arial"/>
                <w:b w:val="false"/>
                <w:i w:val="false"/>
                <w:color w:val="333333"/>
                <w:sz w:val="18"/>
              </w:rPr>
              <w:t>Considérant que le niveau de libération pour le radionucléide Ba-133 a été calculé suivant la méthodologie décrite dans le rapport "Radiation Protection 122, Practical use of the concepts of clearance and exemption; part I, Guidance on general clearance levels for practices", publié par la Commission européenne en 2000,</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Aanvullend vrijgaveniveau</w:t>
            </w:r>
          </w:p>
          <w:p>
            <w:pPr>
              <w:spacing w:before="60" w:after="60"/>
              <w:ind w:left="45"/>
              <w:jc w:val="left"/>
            </w:pPr>
            <w:r>
              <w:rPr>
                <w:rFonts w:ascii="Arial" w:hAnsi="Arial"/>
                <w:b w:val="false"/>
                <w:i w:val="false"/>
                <w:color w:val="333333"/>
                <w:sz w:val="18"/>
              </w:rPr>
              <w:t>Ter aanvulling van tabel A van bijlage IB van het koninklijk besluit van 20 juli 2001 houdende algemeen reglement op de bescherming van de bevolking, van de werknemers en het leefmilieu tegen het gevaar van de ioniserende stralingen geldt het volgende vrijgaveniveau:</w:t>
            </w:r>
          </w:p>
          <w:tbl>
            <w:tblPr>
              <w:tblW w:w="0" w:type="auto"/>
              <w:tblCellSpacing w:w="0" w:type="dxa"/>
              <w:tblBorders>
                <w:top w:val="none"/>
                <w:left w:val="none"/>
                <w:bottom w:val="none"/>
                <w:right w:val="none"/>
                <w:insideH w:val="none"/>
                <w:insideV w:val="none"/>
              </w:tblBorders>
            </w:tblPr>
            <w:tblGrid>
              <w:gridCol w:w="4137"/>
              <w:gridCol w:w="4223"/>
            </w:tblGrid>
            <w:tr>
              <w:trPr>
                <w:trHeight w:val="300" w:hRule="atLeast"/>
              </w:trPr>
              <w:tc>
                <w:tcPr>
                  <w:tcW w:w="413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Nuclide</w:t>
                  </w:r>
                </w:p>
              </w:tc>
              <w:tc>
                <w:tcPr>
                  <w:tcW w:w="4223"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Vrijgaveniveau (kBq/kg)</w:t>
                  </w:r>
                </w:p>
              </w:tc>
            </w:tr>
            <w:tr>
              <w:trPr>
                <w:trHeight w:val="270" w:hRule="atLeast"/>
              </w:trPr>
              <w:tc>
                <w:tcPr>
                  <w:tcW w:w="4137"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Ba-133</w:t>
                  </w:r>
                </w:p>
              </w:tc>
              <w:tc>
                <w:tcPr>
                  <w:tcW w:w="4223"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w:t>
                  </w:r>
                </w:p>
              </w:tc>
            </w:tr>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Niveau de libération complémentaire</w:t>
            </w:r>
          </w:p>
          <w:p>
            <w:pPr>
              <w:spacing w:before="60" w:after="60"/>
              <w:ind w:left="45"/>
              <w:jc w:val="left"/>
            </w:pPr>
            <w:r>
              <w:rPr>
                <w:rFonts w:ascii="Arial" w:hAnsi="Arial"/>
                <w:b w:val="false"/>
                <w:i w:val="false"/>
                <w:color w:val="333333"/>
                <w:sz w:val="18"/>
              </w:rPr>
              <w:t>En complément du tableau A de l'annexe I.reB de l'arrêté royal précité du 20 juillet 2001 portant règlement général de la protection de la population, des travailleurs et de l'environnement contre le danger des rayonnements ionisants, le niveau de libération suivant est d'application:</w:t>
            </w:r>
          </w:p>
          <w:tbl>
            <w:tblPr>
              <w:tblW w:w="0" w:type="auto"/>
              <w:tblCellSpacing w:w="0" w:type="dxa"/>
              <w:tblBorders>
                <w:top w:val="none"/>
                <w:left w:val="none"/>
                <w:bottom w:val="none"/>
                <w:right w:val="none"/>
                <w:insideH w:val="none"/>
                <w:insideV w:val="none"/>
              </w:tblBorders>
            </w:tblPr>
            <w:tblGrid>
              <w:gridCol w:w="4222"/>
              <w:gridCol w:w="4138"/>
            </w:tblGrid>
            <w:tr>
              <w:trPr>
                <w:trHeight w:val="300" w:hRule="atLeast"/>
              </w:trPr>
              <w:tc>
                <w:tcPr>
                  <w:tcW w:w="4222"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Nucléide</w:t>
                  </w:r>
                </w:p>
              </w:tc>
              <w:tc>
                <w:tcPr>
                  <w:tcW w:w="4138"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Niveau de libération (kBq/kg)</w:t>
                  </w:r>
                </w:p>
              </w:tc>
            </w:tr>
            <w:tr>
              <w:trPr>
                <w:trHeight w:val="270" w:hRule="atLeast"/>
              </w:trPr>
              <w:tc>
                <w:tcPr>
                  <w:tcW w:w="4222"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Ba-133</w:t>
                  </w:r>
                </w:p>
              </w:tc>
              <w:tc>
                <w:tcPr>
                  <w:tcW w:w="4138"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w:t>
                  </w:r>
                </w:p>
              </w:tc>
            </w:tr>
          </w:tbl>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Slotbepaling</w:t>
            </w:r>
          </w:p>
          <w:p>
            <w:pPr>
              <w:spacing w:before="60" w:after="60"/>
              <w:ind w:left="45"/>
              <w:jc w:val="left"/>
            </w:pPr>
            <w:r>
              <w:rPr>
                <w:rFonts w:ascii="Arial" w:hAnsi="Arial"/>
                <w:b w:val="false"/>
                <w:i w:val="false"/>
                <w:color w:val="333333"/>
                <w:sz w:val="18"/>
              </w:rPr>
              <w:t xml:space="preserve">Dit besluit treedt in werking op de dag van publicatie in het </w:t>
            </w:r>
            <w:r>
              <w:rPr>
                <w:rFonts w:ascii="Arial" w:hAnsi="Arial"/>
                <w:b w:val="false"/>
                <w:i/>
                <w:color w:val="333333"/>
                <w:sz w:val="18"/>
              </w:rPr>
              <w:t>Belgisch Staatsblad</w:t>
            </w: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Disposition finale</w:t>
            </w:r>
          </w:p>
          <w:p>
            <w:pPr>
              <w:spacing w:before="60" w:after="60"/>
              <w:ind w:left="45"/>
              <w:jc w:val="left"/>
            </w:pPr>
            <w:r>
              <w:rPr>
                <w:rFonts w:ascii="Arial" w:hAnsi="Arial"/>
                <w:b w:val="false"/>
                <w:i w:val="false"/>
                <w:color w:val="333333"/>
                <w:sz w:val="18"/>
              </w:rPr>
              <w:t xml:space="preserve">Le présent arrêté entre en vigueur le jour de sa publication au </w:t>
            </w:r>
            <w:r>
              <w:rPr>
                <w:rFonts w:ascii="Arial" w:hAnsi="Arial"/>
                <w:b w:val="false"/>
                <w:i/>
                <w:color w:val="333333"/>
                <w:sz w:val="18"/>
              </w:rPr>
              <w:t>Moniteur belge</w:t>
            </w: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