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20/07/01 ARBIS - Bijlage IX - Niveaus voor de vrijstelling van aangifte voor vloeibare natuurlijke stralingsbronnen </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 - Annexe IX - Niveaux d'exemption de déclaration pour les sources naturelles de rayonnement à l'état liquide</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IX Niveaus voor de vrijstelling van aangifte voor vloeibare natuurlijke stralingsbronnen</w:t>
            </w:r>
          </w:p>
          <w:p>
            <w:pPr>
              <w:spacing w:before="60" w:after="60"/>
              <w:ind w:left="45"/>
              <w:jc w:val="left"/>
            </w:pPr>
            <w:r>
              <w:rPr>
                <w:rFonts w:ascii="Arial" w:hAnsi="Arial"/>
                <w:b w:val="false"/>
                <w:i w:val="false"/>
                <w:color w:val="333333"/>
                <w:sz w:val="18"/>
              </w:rPr>
              <w:t>In de tabel C hieronder worden de vrijstellingwaarden vermeld die van toepassing zijn in het kader van artikel 4.2. Deze waarden zijn van toepassing voor de vloeibare natuurlijke stralingsbronnen.</w:t>
            </w:r>
          </w:p>
          <w:tbl>
            <w:tblPr>
              <w:tblW w:w="0" w:type="auto"/>
              <w:tblCellSpacing w:w="0" w:type="dxa"/>
              <w:tblBorders>
                <w:top w:val="none"/>
                <w:left w:val="none"/>
                <w:bottom w:val="none"/>
                <w:right w:val="none"/>
                <w:insideH w:val="none"/>
                <w:insideV w:val="none"/>
              </w:tblBorders>
            </w:tblPr>
            <w:tblGrid>
              <w:gridCol w:w="3930"/>
              <w:gridCol w:w="4430"/>
            </w:tblGrid>
            <w:tr>
              <w:trPr>
                <w:trHeight w:val="300" w:hRule="atLeast"/>
              </w:trPr>
              <w:tc>
                <w:tcPr>
                  <w:tcW w:w="3930"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w:t>
                  </w:r>
                </w:p>
              </w:tc>
              <w:tc>
                <w:tcPr>
                  <w:tcW w:w="4430"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Activiteitsconcentratie (Bq/l)</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4.8</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0.83</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930"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43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160</w:t>
                  </w:r>
                </w:p>
              </w:tc>
            </w:tr>
          </w:tbl>
          <w:p/>
          <w:p>
            <w:pPr>
              <w:spacing w:before="60" w:after="60"/>
              <w:ind w:left="45"/>
              <w:jc w:val="left"/>
            </w:pPr>
            <w:r>
              <w:rPr>
                <w:rFonts w:ascii="Arial" w:hAnsi="Arial"/>
                <w:b w:val="false"/>
                <w:i w:val="false"/>
                <w:color w:val="333333"/>
                <w:sz w:val="18"/>
              </w:rPr>
              <w:t>Tabel C: Niveaus voor de vrijstelling van aangifte voor vloeibare natuurlijke stralingsbronnen</w:t>
            </w:r>
          </w:p>
          <w:p>
            <w:pPr>
              <w:spacing w:before="60" w:after="60"/>
              <w:ind w:left="45"/>
              <w:jc w:val="left"/>
            </w:pPr>
            <w:r>
              <w:rPr>
                <w:rFonts w:ascii="Arial" w:hAnsi="Arial"/>
                <w:b w:val="false"/>
                <w:i w:val="false"/>
                <w:color w:val="333333"/>
                <w:sz w:val="18"/>
              </w:rPr>
              <w:t>In geval van aanwezigheid van verschillende natuurlijke radionucliden, is de volgende somregel van toepassing:</w:t>
            </w:r>
          </w:p>
          <w:p>
            <w:pPr>
              <w:spacing w:before="60" w:after="60"/>
              <w:ind w:left="45"/>
              <w:jc w:val="left"/>
            </w:pPr>
            <w:r>
              <w:rPr>
                <w:rFonts w:ascii="Arial" w:hAnsi="Arial"/>
                <w:b w:val="false"/>
                <w:i w:val="false"/>
                <w:color w:val="333333"/>
                <w:sz w:val="18"/>
              </w:rPr>
              <w:t>∑</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met C</w:t>
            </w:r>
            <w:r>
              <w:rPr>
                <w:rFonts w:ascii="Arial" w:hAnsi="Arial"/>
                <w:b w:val="false"/>
                <w:i w:val="false"/>
                <w:color w:val="333333"/>
                <w:sz w:val="18"/>
                <w:vertAlign w:val="subscript"/>
              </w:rPr>
              <w:t>i</w:t>
            </w:r>
            <w:r>
              <w:rPr>
                <w:rFonts w:ascii="Arial" w:hAnsi="Arial"/>
                <w:b w:val="false"/>
                <w:i w:val="false"/>
                <w:color w:val="333333"/>
                <w:sz w:val="18"/>
              </w:rPr>
              <w:t xml:space="preserve"> de activiteitsconcentratiewaarde van de radionuclide i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niveau in de tabel hierboven.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IX Niveaux d'exemption de déclaration pour les sources naturelles de rayonnement à l'état liquide</w:t>
            </w:r>
          </w:p>
          <w:p>
            <w:pPr>
              <w:spacing w:before="60" w:after="60"/>
              <w:ind w:left="45"/>
              <w:jc w:val="left"/>
            </w:pPr>
            <w:r>
              <w:rPr>
                <w:rFonts w:ascii="Arial" w:hAnsi="Arial"/>
                <w:b w:val="false"/>
                <w:i w:val="false"/>
                <w:color w:val="333333"/>
                <w:sz w:val="18"/>
              </w:rPr>
              <w:t>Le tableau C ci-après désigne les valeurs d'exemption de déclaration d'application dans le cadre de l'article 4.2. Ces niveaux sont applicables aux sources naturelles de rayonnement à l'état liquide.</w:t>
            </w:r>
          </w:p>
          <w:tbl>
            <w:tblPr>
              <w:tblW w:w="0" w:type="auto"/>
              <w:tblCellSpacing w:w="0" w:type="dxa"/>
              <w:tblBorders>
                <w:top w:val="none"/>
                <w:left w:val="none"/>
                <w:bottom w:val="none"/>
                <w:right w:val="none"/>
                <w:insideH w:val="none"/>
                <w:insideV w:val="none"/>
              </w:tblBorders>
            </w:tblPr>
            <w:tblGrid>
              <w:gridCol w:w="3679"/>
              <w:gridCol w:w="4681"/>
            </w:tblGrid>
            <w:tr>
              <w:trPr>
                <w:trHeight w:val="300" w:hRule="atLeast"/>
              </w:trPr>
              <w:tc>
                <w:tcPr>
                  <w:tcW w:w="3679"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Radionucléide</w:t>
                  </w:r>
                </w:p>
              </w:tc>
              <w:tc>
                <w:tcPr>
                  <w:tcW w:w="4681"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Concentration d'activité (Bq /l)</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U-234</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4.8</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0.83</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w:t>
                  </w:r>
                </w:p>
              </w:tc>
            </w:tr>
            <w:tr>
              <w:trPr>
                <w:trHeight w:val="270" w:hRule="atLeast"/>
              </w:trPr>
              <w:tc>
                <w:tcPr>
                  <w:tcW w:w="3679"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681"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160</w:t>
                  </w:r>
                </w:p>
              </w:tc>
            </w:tr>
          </w:tbl>
          <w:p/>
          <w:p>
            <w:pPr>
              <w:spacing w:before="60" w:after="60"/>
              <w:ind w:left="45"/>
              <w:jc w:val="left"/>
            </w:pPr>
            <w:r>
              <w:rPr>
                <w:rFonts w:ascii="Arial" w:hAnsi="Arial"/>
                <w:b w:val="false"/>
                <w:i w:val="false"/>
                <w:color w:val="333333"/>
                <w:sz w:val="18"/>
              </w:rPr>
              <w:t>Table C: valeurs d'exemption de déclaration pour les sources naturelles liquides</w:t>
            </w:r>
          </w:p>
          <w:p>
            <w:pPr>
              <w:spacing w:before="60" w:after="60"/>
              <w:ind w:left="45"/>
              <w:jc w:val="left"/>
            </w:pPr>
            <w:r>
              <w:rPr>
                <w:rFonts w:ascii="Arial" w:hAnsi="Arial"/>
                <w:b w:val="false"/>
                <w:i w:val="false"/>
                <w:color w:val="333333"/>
                <w:sz w:val="18"/>
              </w:rPr>
              <w:t>En cas de présence de plusieurs radionucléides naturels, la règle de somme suivante est d'application: ∑</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avec C</w:t>
            </w:r>
            <w:r>
              <w:rPr>
                <w:rFonts w:ascii="Arial" w:hAnsi="Arial"/>
                <w:b w:val="false"/>
                <w:i w:val="false"/>
                <w:color w:val="333333"/>
                <w:sz w:val="18"/>
                <w:vertAlign w:val="subscript"/>
              </w:rPr>
              <w:t>i</w:t>
            </w:r>
            <w:r>
              <w:rPr>
                <w:rFonts w:ascii="Arial" w:hAnsi="Arial"/>
                <w:b w:val="false"/>
                <w:i w:val="false"/>
                <w:color w:val="333333"/>
                <w:sz w:val="18"/>
              </w:rPr>
              <w:t xml:space="preserve"> les valeurs de concentration d'activité du radionucléide i et C</w:t>
            </w:r>
            <w:r>
              <w:rPr>
                <w:rFonts w:ascii="Arial" w:hAnsi="Arial"/>
                <w:b w:val="false"/>
                <w:i w:val="false"/>
                <w:color w:val="333333"/>
                <w:sz w:val="18"/>
                <w:vertAlign w:val="subscript"/>
              </w:rPr>
              <w:t>L,i</w:t>
            </w:r>
            <w:r>
              <w:rPr>
                <w:rFonts w:ascii="Arial" w:hAnsi="Arial"/>
                <w:b w:val="false"/>
                <w:i w:val="false"/>
                <w:color w:val="333333"/>
                <w:sz w:val="18"/>
              </w:rPr>
              <w:t xml:space="preserve"> le niveau correspondant dans le tableau C.</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