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39 Ecarts</w:t>
            </w:r>
          </w:p>
          <w:p>
            <w:pPr>
              <w:spacing w:before="60" w:after="60"/>
              <w:ind w:left="45"/>
              <w:jc w:val="left"/>
            </w:pPr>
            <w:r>
              <w:rPr>
                <w:rFonts w:ascii="Arial" w:hAnsi="Arial"/>
                <w:b w:val="false"/>
                <w:i w:val="false"/>
                <w:color w:val="333333"/>
                <w:sz w:val="18"/>
              </w:rPr>
              <w:t>Les procédures relatives à la réception du combustible nucléaire usé ou des colis de déchets radioactifs doivent inclure des mesures garantissant la gestion sûre de ceux qui ne satisfont pas aux critères de conformité.</w:t>
            </w:r>
          </w:p>
          <w:p>
            <w:pPr>
              <w:spacing w:before="60" w:after="60"/>
              <w:ind w:left="45"/>
              <w:jc w:val="left"/>
            </w:pPr>
            <w:r>
              <w:rPr>
                <w:rFonts w:ascii="Arial" w:hAnsi="Arial"/>
                <w:b w:val="false"/>
                <w:i w:val="false"/>
                <w:color w:val="333333"/>
                <w:sz w:val="18"/>
              </w:rPr>
              <w:t>Les écarts constatés durant l'entreposage par rapport aux critères de conformité doivent être répertoriés par l'exploitant et tenus à disposition de l'autorité de sûreté. Il devra être évalué si ces écarts doivent conduire à une modification de ces critères.</w:t>
            </w:r>
          </w:p>
          <w:p>
            <w:pPr>
              <w:spacing w:before="60" w:after="60"/>
              <w:ind w:left="45"/>
              <w:jc w:val="left"/>
            </w:pPr>
            <w:r>
              <w:rPr>
                <w:rFonts w:ascii="Arial" w:hAnsi="Arial"/>
                <w:b w:val="false"/>
                <w:i w:val="false"/>
                <w:color w:val="333333"/>
                <w:sz w:val="18"/>
              </w:rPr>
              <w:t>L'exploitant doit prévoir les mesures pour gérer de façon sûre le combustible nucléaire usé ou les colis de déchets radioactifs qui ne satisfont plus aux critères de conformité et qui ne pourraient plus être retirés de l'installation suivant le processus normal.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39 Afwijkingen</w:t>
            </w:r>
          </w:p>
          <w:p>
            <w:pPr>
              <w:spacing w:before="60" w:after="60"/>
              <w:ind w:left="45"/>
              <w:jc w:val="left"/>
            </w:pPr>
            <w:r>
              <w:rPr>
                <w:rFonts w:ascii="Arial" w:hAnsi="Arial"/>
                <w:b w:val="false"/>
                <w:i w:val="false"/>
                <w:color w:val="333333"/>
                <w:sz w:val="18"/>
              </w:rPr>
              <w:t>De procedures met betrekking tot de ontvangst van de verbruikte kernbrandstof of van de colli met radioactief afval moeten maatregelen omvatten die het veilig beheer garanderen van deze die niet aan de conformiteitscriteria voldoen.</w:t>
            </w:r>
          </w:p>
          <w:p>
            <w:pPr>
              <w:spacing w:before="60" w:after="60"/>
              <w:ind w:left="45"/>
              <w:jc w:val="left"/>
            </w:pPr>
            <w:r>
              <w:rPr>
                <w:rFonts w:ascii="Arial" w:hAnsi="Arial"/>
                <w:b w:val="false"/>
                <w:i w:val="false"/>
                <w:color w:val="333333"/>
                <w:sz w:val="18"/>
              </w:rPr>
              <w:t>Afwijkingen ten opzichte van de conformiteitscriteria die tijdens de opslag vastgesteld worden, moeten door de exploitant geïnventariseerd worden en ter beschikking van de veiligheidsautoriteit worden gehouden. Er moet worden geëvalueerd of deze afwijkingen tot een wijziging van deze criteria dienen te leiden.</w:t>
            </w:r>
          </w:p>
          <w:p>
            <w:pPr>
              <w:spacing w:before="60" w:after="60"/>
              <w:ind w:left="45"/>
              <w:jc w:val="left"/>
            </w:pPr>
            <w:r>
              <w:rPr>
                <w:rFonts w:ascii="Arial" w:hAnsi="Arial"/>
                <w:b w:val="false"/>
                <w:i w:val="false"/>
                <w:color w:val="333333"/>
                <w:sz w:val="18"/>
              </w:rPr>
              <w:t>De exploitant moet de maatregelen voorzien voor het veilig beheer van de verbruikte kernbrandstof of van de colli met radioactief afval die niet meer aan de conformiteitscriteria voldoen en die niet meer via het normale proces uit de opslaginstallatie zouden kunnen gehaald worden.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