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35 Récolte, traitement et élimination des déchets solides</w:t>
            </w:r>
          </w:p>
          <w:p>
            <w:pPr>
              <w:spacing w:before="0" w:after="0"/>
              <w:ind w:left="45"/>
              <w:jc w:val="left"/>
            </w:pPr>
          </w:p>
          <w:p>
            <w:pPr>
              <w:spacing w:before="0" w:after="0"/>
              <w:ind w:left="45"/>
              <w:jc w:val="left"/>
            </w:pPr>
            <w:r>
              <w:rPr>
                <w:rFonts w:ascii="Arial" w:hAnsi="Arial"/>
                <w:b w:val="false"/>
                <w:i w:val="false"/>
                <w:color w:val="333333"/>
                <w:sz w:val="18"/>
              </w:rPr>
              <w:t xml:space="preserve">35.1 </w:t>
            </w:r>
          </w:p>
          <w:p>
            <w:pPr>
              <w:spacing w:before="60" w:after="60"/>
              <w:ind w:left="45"/>
              <w:jc w:val="left"/>
            </w:pPr>
            <w:r>
              <w:rPr>
                <w:rFonts w:ascii="Arial" w:hAnsi="Arial"/>
                <w:b w:val="false"/>
                <w:i w:val="false"/>
                <w:color w:val="333333"/>
                <w:sz w:val="18"/>
              </w:rPr>
              <w:t>Les déchets radioactifs solides sont recueillis soigneusement dans des récipients étanches assurant une protection suffisante; ils sont ensuite traités et, éventuellement concentrés, de manière à éviter tout risque de dispersion de substances radioactives sous quelque forme que ce soit.</w:t>
            </w:r>
          </w:p>
          <w:p>
            <w:pPr>
              <w:spacing w:before="60" w:after="60"/>
              <w:ind w:left="45"/>
              <w:jc w:val="left"/>
            </w:pPr>
            <w:r>
              <w:rPr>
                <w:rFonts w:ascii="Arial" w:hAnsi="Arial"/>
                <w:b w:val="false"/>
                <w:i w:val="false"/>
                <w:color w:val="333333"/>
                <w:sz w:val="18"/>
              </w:rPr>
              <w:t>L'élimination des déchets radioactifs solides est interdite dans les eaux de surface, ainsi que dans les égouts et collecteurs.</w:t>
            </w:r>
          </w:p>
          <w:p>
            <w:pPr>
              <w:spacing w:before="0" w:after="0"/>
              <w:ind w:left="45"/>
              <w:jc w:val="left"/>
            </w:pPr>
          </w:p>
          <w:p>
            <w:pPr>
              <w:spacing w:before="0" w:after="0"/>
              <w:ind w:left="45"/>
              <w:jc w:val="left"/>
            </w:pPr>
            <w:r>
              <w:rPr>
                <w:rFonts w:ascii="Arial" w:hAnsi="Arial"/>
                <w:b w:val="false"/>
                <w:i w:val="false"/>
                <w:color w:val="333333"/>
                <w:sz w:val="18"/>
              </w:rPr>
              <w:t xml:space="preserve">35.2 </w:t>
            </w:r>
          </w:p>
          <w:p>
            <w:pPr>
              <w:spacing w:before="60" w:after="60"/>
              <w:ind w:left="45"/>
              <w:jc w:val="left"/>
            </w:pPr>
            <w:r>
              <w:rPr>
                <w:rFonts w:ascii="Arial" w:hAnsi="Arial"/>
                <w:b w:val="false"/>
                <w:i w:val="false"/>
                <w:color w:val="333333"/>
                <w:sz w:val="18"/>
              </w:rPr>
              <w:t>L'élimination, le départ en vue de recyclage ou de réutilisation de déchets radioactifs solides provenant d'un établissement de classe I, II ou III visé à l'article 3 sont interdits lorsque ceux-ci ne satisfont pas aux conditions et niveaux de libération fixés à l'annexe IB , sauf si l'Agence l'autorise en application de l'article 18.</w:t>
            </w:r>
          </w:p>
          <w:p>
            <w:pPr>
              <w:spacing w:before="60" w:after="60"/>
              <w:ind w:left="45"/>
              <w:jc w:val="left"/>
            </w:pPr>
            <w:r>
              <w:rPr>
                <w:rFonts w:ascii="Arial" w:hAnsi="Arial"/>
                <w:b w:val="false"/>
                <w:i w:val="false"/>
                <w:color w:val="333333"/>
                <w:sz w:val="18"/>
              </w:rPr>
              <w:t>Dans le cas des établissements où des substances radioactives de période inférieure à six mois sont utilisées, le respect des conditions et niveaux de libération fixés à l'annexe IB n'est pas suffisant; l'élimination et l'élimination en vue de mise en décharge ou d'incinération de ces substances ne peuvent avoir lieu qu'après décroissance quasi complète. [Un entreposage] de ces substances pendant une durée équivalent à au moins dix temps de demi-vie est exigé dans tous les cas; [cet entreposage] sera prolongé pendant la durée nécessaire pour assurer une décroissance quasi-complète.</w:t>
            </w:r>
          </w:p>
          <w:p>
            <w:pPr>
              <w:spacing w:before="60" w:after="60"/>
              <w:ind w:left="45"/>
              <w:jc w:val="left"/>
            </w:pPr>
            <w:r>
              <w:rPr>
                <w:rFonts w:ascii="Arial" w:hAnsi="Arial"/>
                <w:b w:val="false"/>
                <w:i w:val="false"/>
                <w:color w:val="333333"/>
                <w:sz w:val="18"/>
              </w:rPr>
              <w:t>Dans le cadre du démantèlement des installations faisant partie d'établissements de classe I ou d'établissements de classe II visés aux articles 3.1.b).1 et 3.1.b).2, selon les dispositions prévues à l'article 17, l'élimination, le départ en vue de recyclage ou de réutilisation de déchets radioactifs solides font toujours l'objet d'une autorisation de l'autorité compétente.</w:t>
            </w:r>
          </w:p>
          <w:p>
            <w:pPr>
              <w:spacing w:before="0" w:after="0"/>
              <w:ind w:left="45"/>
              <w:jc w:val="left"/>
            </w:pPr>
          </w:p>
          <w:p>
            <w:pPr>
              <w:spacing w:before="0" w:after="0"/>
              <w:ind w:left="45"/>
              <w:jc w:val="left"/>
            </w:pPr>
            <w:r>
              <w:rPr>
                <w:rFonts w:ascii="Arial" w:hAnsi="Arial"/>
                <w:b w:val="false"/>
                <w:i w:val="false"/>
                <w:color w:val="333333"/>
                <w:sz w:val="18"/>
              </w:rPr>
              <w:t xml:space="preserve">35.3 </w:t>
            </w:r>
          </w:p>
          <w:p>
            <w:pPr>
              <w:spacing w:before="60" w:after="60"/>
              <w:ind w:left="45"/>
              <w:jc w:val="left"/>
            </w:pPr>
            <w:r>
              <w:rPr>
                <w:rFonts w:ascii="Arial" w:hAnsi="Arial"/>
                <w:b w:val="false"/>
                <w:i w:val="false"/>
                <w:color w:val="333333"/>
                <w:sz w:val="18"/>
              </w:rPr>
              <w:t>Les procédures et les techniques de mesure destinées à vérifier la conformité aux niveaux de libération fixés à l'annexe IB ou aux niveaux fixés dans l'autorisation, ou destinées à s'assurer d'une décroissance quasi complète des substances radioactives d'une période inférieure à six mois, doivent être conformes aux directives élaborées, le cas échéant, par l'Agence ou approuvées par celle-ci. Chaque libération est soumise à l'accord du service de contrôle physique de l'exploitant et doit se dérouler conformément aux procédures écrites détaillées élaborées par celui-ci. [...]</w:t>
            </w:r>
          </w:p>
          <w:p>
            <w:pPr>
              <w:spacing w:before="0" w:after="0"/>
              <w:ind w:left="45"/>
              <w:jc w:val="left"/>
            </w:pPr>
          </w:p>
          <w:p>
            <w:pPr>
              <w:spacing w:before="0" w:after="0"/>
              <w:ind w:left="45"/>
              <w:jc w:val="left"/>
            </w:pPr>
            <w:r>
              <w:rPr>
                <w:rFonts w:ascii="Arial" w:hAnsi="Arial"/>
                <w:b w:val="false"/>
                <w:i w:val="false"/>
                <w:color w:val="333333"/>
                <w:sz w:val="18"/>
              </w:rPr>
              <w:t xml:space="preserve">35.4 </w:t>
            </w:r>
          </w:p>
          <w:p>
            <w:pPr>
              <w:spacing w:before="60" w:after="60"/>
              <w:ind w:left="45"/>
              <w:jc w:val="left"/>
            </w:pPr>
            <w:r>
              <w:rPr>
                <w:rFonts w:ascii="Arial" w:hAnsi="Arial"/>
                <w:b w:val="false"/>
                <w:i w:val="false"/>
                <w:color w:val="333333"/>
                <w:sz w:val="18"/>
              </w:rPr>
              <w:t>La dilution délibérée par des matériaux non radioactifs en vue de satisfaire aux niveaux de libération fixés à l'annexe IB ou aux niveaux fixés dans l'autorisation est interdite.</w:t>
            </w:r>
          </w:p>
          <w:p>
            <w:pPr>
              <w:spacing w:before="60" w:after="60"/>
              <w:ind w:left="45"/>
              <w:jc w:val="left"/>
            </w:pPr>
            <w:r>
              <w:rPr>
                <w:rFonts w:ascii="Arial" w:hAnsi="Arial"/>
                <w:b w:val="false"/>
                <w:i w:val="false"/>
                <w:color w:val="333333"/>
                <w:sz w:val="18"/>
              </w:rPr>
              <w:t>En outre, l'activité totale des déchets radioactifs solides éliminés, recyclés ou réutilisés sera toujours maintenue à un niveau aussi bas qu'il est raisonnablement possible</w:t>
            </w:r>
          </w:p>
          <w:p>
            <w:pPr>
              <w:spacing w:before="0" w:after="0"/>
              <w:ind w:left="45"/>
              <w:jc w:val="left"/>
            </w:pPr>
          </w:p>
          <w:p>
            <w:pPr>
              <w:spacing w:before="0" w:after="0"/>
              <w:ind w:left="45"/>
              <w:jc w:val="left"/>
            </w:pPr>
            <w:r>
              <w:rPr>
                <w:rFonts w:ascii="Arial" w:hAnsi="Arial"/>
                <w:b w:val="false"/>
                <w:i w:val="false"/>
                <w:color w:val="333333"/>
                <w:sz w:val="18"/>
              </w:rPr>
              <w:t xml:space="preserve">35.5 </w:t>
            </w:r>
          </w:p>
          <w:p>
            <w:pPr>
              <w:spacing w:before="60" w:after="60"/>
              <w:ind w:left="45"/>
              <w:jc w:val="left"/>
            </w:pPr>
            <w:r>
              <w:rPr>
                <w:rFonts w:ascii="Arial" w:hAnsi="Arial"/>
                <w:b w:val="false"/>
                <w:i w:val="false"/>
                <w:color w:val="333333"/>
                <w:sz w:val="18"/>
              </w:rPr>
              <w:t>La concentration des diverses substances radioactives contenues dans les déchets radioactifs solides visés ci-dessus, leur nature chimique et physique, leur origine, volume et masse, ainsi que leur destination, doivent être répertoriés systématiquement par l'exploitant et être à la disposition de l'Agence et de l'ONDRAF.</w:t>
            </w:r>
          </w:p>
          <w:p>
            <w:pPr>
              <w:spacing w:before="60" w:after="60"/>
              <w:ind w:left="45"/>
              <w:jc w:val="left"/>
            </w:pPr>
            <w:r>
              <w:rPr>
                <w:rFonts w:ascii="Arial" w:hAnsi="Arial"/>
                <w:b w:val="false"/>
                <w:i w:val="false"/>
                <w:color w:val="333333"/>
                <w:sz w:val="18"/>
              </w:rPr>
              <w:t>Au plus tard le 1</w:t>
            </w:r>
            <w:r>
              <w:rPr>
                <w:rFonts w:ascii="Arial" w:hAnsi="Arial"/>
                <w:b w:val="false"/>
                <w:i w:val="false"/>
                <w:color w:val="333333"/>
                <w:sz w:val="18"/>
                <w:vertAlign w:val="superscript"/>
              </w:rPr>
              <w:t>er</w:t>
            </w:r>
            <w:r>
              <w:rPr>
                <w:rFonts w:ascii="Arial" w:hAnsi="Arial"/>
                <w:b w:val="false"/>
                <w:i w:val="false"/>
                <w:color w:val="333333"/>
                <w:sz w:val="18"/>
              </w:rPr>
              <w:t> mars de chaque année, les exploitants, et par défaut les chefs d'entreprise, font parvenir à l'Agence un relevé des déchets libérés durant l'année précédente. Le modèle de relevé est déterminé par l'Agence.</w:t>
            </w:r>
          </w:p>
          <w:p>
            <w:pPr>
              <w:spacing w:before="60" w:after="60"/>
              <w:ind w:left="45"/>
              <w:jc w:val="left"/>
            </w:pPr>
            <w:r>
              <w:rPr>
                <w:rFonts w:ascii="Arial" w:hAnsi="Arial"/>
                <w:b w:val="false"/>
                <w:i w:val="false"/>
                <w:color w:val="333333"/>
                <w:sz w:val="18"/>
              </w:rPr>
              <w:t>La destination des substances et matériaux pour lesquels une élimination en décharge ou par incinération, un recyclage ou une réutilisation sont prévus doit être contrôlée et garantie par l'exploitant et attestée par les documents appropriés.</w:t>
            </w:r>
          </w:p>
          <w:p>
            <w:pPr>
              <w:spacing w:before="0" w:after="0"/>
              <w:ind w:left="45"/>
              <w:jc w:val="left"/>
            </w:pPr>
          </w:p>
          <w:p>
            <w:pPr>
              <w:spacing w:before="0" w:after="0"/>
              <w:ind w:left="45"/>
              <w:jc w:val="left"/>
            </w:pPr>
            <w:r>
              <w:rPr>
                <w:rFonts w:ascii="Arial" w:hAnsi="Arial"/>
                <w:b w:val="false"/>
                <w:i w:val="false"/>
                <w:color w:val="333333"/>
                <w:sz w:val="18"/>
              </w:rPr>
              <w:t xml:space="preserve">[35.6 </w:t>
            </w:r>
          </w:p>
          <w:p>
            <w:pPr>
              <w:spacing w:before="60" w:after="60"/>
              <w:ind w:left="45"/>
              <w:jc w:val="left"/>
            </w:pPr>
            <w:r>
              <w:rPr>
                <w:rFonts w:ascii="Arial" w:hAnsi="Arial"/>
                <w:b w:val="false"/>
                <w:i w:val="false"/>
                <w:color w:val="333333"/>
                <w:sz w:val="18"/>
              </w:rPr>
              <w:t>L'Agence peut établir un règlement technique fixant les valeurs de libération pour des bâtiments, pour certains matériaux spécifiques ou pour des matériaux provenant de pratiques spécifiques, conformément aux critères définis au point 2. et au point 3. de l'annexe IB. Le règlement technique peut contenir des exigences supplémentaires concernant l'activité surfacique ou le contrôle nécessaires pour satisfaire à ces critères. Le règlement technique tient compte des orientations techniques correspondantes de la Communauté européenne de l'Energie atomique.</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35 Opvangen, behandelen en verwijderen van vaste afvalstoffen</w:t>
            </w:r>
          </w:p>
          <w:p>
            <w:pPr>
              <w:spacing w:before="0" w:after="0"/>
              <w:ind w:left="45"/>
              <w:jc w:val="left"/>
            </w:pPr>
          </w:p>
          <w:p>
            <w:pPr>
              <w:spacing w:before="0" w:after="0"/>
              <w:ind w:left="45"/>
              <w:jc w:val="left"/>
            </w:pPr>
            <w:r>
              <w:rPr>
                <w:rFonts w:ascii="Arial" w:hAnsi="Arial"/>
                <w:b w:val="false"/>
                <w:i w:val="false"/>
                <w:color w:val="333333"/>
                <w:sz w:val="18"/>
              </w:rPr>
              <w:t xml:space="preserve">35.1 </w:t>
            </w:r>
          </w:p>
          <w:p>
            <w:pPr>
              <w:spacing w:before="60" w:after="60"/>
              <w:ind w:left="45"/>
              <w:jc w:val="left"/>
            </w:pPr>
            <w:r>
              <w:rPr>
                <w:rFonts w:ascii="Arial" w:hAnsi="Arial"/>
                <w:b w:val="false"/>
                <w:i w:val="false"/>
                <w:color w:val="333333"/>
                <w:sz w:val="18"/>
              </w:rPr>
              <w:t>De vaste radioactieve afvalstoffen worden zorgvuldig verzameld in hermetisch gesloten recipiënten waardoor er een voldoende bescherming wordt geboden. Vervolgens worden ze behandeld en eventueel geconcentreerd om elk risico op verspreiding van radioactieve stoffen, onder welke vorm ook, te vermijden.</w:t>
            </w:r>
          </w:p>
          <w:p>
            <w:pPr>
              <w:spacing w:before="60" w:after="60"/>
              <w:ind w:left="45"/>
              <w:jc w:val="left"/>
            </w:pPr>
            <w:r>
              <w:rPr>
                <w:rFonts w:ascii="Arial" w:hAnsi="Arial"/>
                <w:b w:val="false"/>
                <w:i w:val="false"/>
                <w:color w:val="333333"/>
                <w:sz w:val="18"/>
              </w:rPr>
              <w:t>De verwijdering van de vaste radioactieve afvalstoffen is verboden in de oppervlaktewateren, evenals in de riolen en in de collectoren.</w:t>
            </w:r>
          </w:p>
          <w:p>
            <w:pPr>
              <w:spacing w:before="0" w:after="0"/>
              <w:ind w:left="45"/>
              <w:jc w:val="left"/>
            </w:pPr>
          </w:p>
          <w:p>
            <w:pPr>
              <w:spacing w:before="0" w:after="0"/>
              <w:ind w:left="45"/>
              <w:jc w:val="left"/>
            </w:pPr>
            <w:r>
              <w:rPr>
                <w:rFonts w:ascii="Arial" w:hAnsi="Arial"/>
                <w:b w:val="false"/>
                <w:i w:val="false"/>
                <w:color w:val="333333"/>
                <w:sz w:val="18"/>
              </w:rPr>
              <w:t xml:space="preserve">35.2 </w:t>
            </w:r>
          </w:p>
          <w:p>
            <w:pPr>
              <w:spacing w:before="60" w:after="60"/>
              <w:ind w:left="45"/>
              <w:jc w:val="left"/>
            </w:pPr>
            <w:r>
              <w:rPr>
                <w:rFonts w:ascii="Arial" w:hAnsi="Arial"/>
                <w:b w:val="false"/>
                <w:i w:val="false"/>
                <w:color w:val="333333"/>
                <w:sz w:val="18"/>
              </w:rPr>
              <w:t>De verwijdering, de afvoer voor recyclage of hergebruik van vaste radioactieve afvalstoffen afkomstig van een inrichting van klasse I, II of III, bedoeld in artikel 3, zijn verboden wanneer deze niet voldoen aan de voorwaarden en de niveaus voor vrijgave vastgesteld in bijlage IB, tenzij het Agentschap hiervoor een vergunning verleent met toepassing van artikel 18.</w:t>
            </w:r>
          </w:p>
          <w:p>
            <w:pPr>
              <w:spacing w:before="60" w:after="60"/>
              <w:ind w:left="45"/>
              <w:jc w:val="left"/>
            </w:pPr>
            <w:r>
              <w:rPr>
                <w:rFonts w:ascii="Arial" w:hAnsi="Arial"/>
                <w:b w:val="false"/>
                <w:i w:val="false"/>
                <w:color w:val="333333"/>
                <w:sz w:val="18"/>
              </w:rPr>
              <w:t>In de inrichtingen waar radioactieve stoffen met een halveringstijd van minder dan zes maanden worden aangewend, volstaat het niet de voorwaarden en de vrijgaveniveaus vastgesteld in bijlage IB na te leven; de verwijdering, de verwijdering naar een stortplaats of voor verbranding van deze stoffen mag alleen plaatsvinden na nagenoeg volledig verval. In elk geval is een opslag vereist gedurende een periode die ten minste gelijk is aan tien maal de halveringstijd; de opslag wordt verlengd met de vereiste tijd om een nagenoeg volledig verval te waarborgen.</w:t>
            </w:r>
          </w:p>
          <w:p>
            <w:pPr>
              <w:spacing w:before="60" w:after="60"/>
              <w:ind w:left="45"/>
              <w:jc w:val="left"/>
            </w:pPr>
            <w:r>
              <w:rPr>
                <w:rFonts w:ascii="Arial" w:hAnsi="Arial"/>
                <w:b w:val="false"/>
                <w:i w:val="false"/>
                <w:color w:val="333333"/>
                <w:sz w:val="18"/>
              </w:rPr>
              <w:t>In het kader van de ontmanteling van de installaties die deel uitmaken van de inrichtingen van klasse I of van inrichtingen van klasse II, bedoeld in de artikelen 3.1.b).1 en 3.1.b).2, volgens de bepalingen vermeld in artikel 17, zijn de verwijdering, de afvoer voor recyclage of hergebruik van vaste radioactieve afvalstoffen steeds het voorwerp van een vergunning van de bevoegde overheid.</w:t>
            </w:r>
          </w:p>
          <w:p>
            <w:pPr>
              <w:spacing w:before="0" w:after="0"/>
              <w:ind w:left="45"/>
              <w:jc w:val="left"/>
            </w:pPr>
          </w:p>
          <w:p>
            <w:pPr>
              <w:spacing w:before="0" w:after="0"/>
              <w:ind w:left="45"/>
              <w:jc w:val="left"/>
            </w:pPr>
            <w:r>
              <w:rPr>
                <w:rFonts w:ascii="Arial" w:hAnsi="Arial"/>
                <w:b w:val="false"/>
                <w:i w:val="false"/>
                <w:color w:val="333333"/>
                <w:sz w:val="18"/>
              </w:rPr>
              <w:t xml:space="preserve">35.3 </w:t>
            </w:r>
          </w:p>
          <w:p>
            <w:pPr>
              <w:spacing w:before="60" w:after="60"/>
              <w:ind w:left="45"/>
              <w:jc w:val="left"/>
            </w:pPr>
            <w:r>
              <w:rPr>
                <w:rFonts w:ascii="Arial" w:hAnsi="Arial"/>
                <w:b w:val="false"/>
                <w:i w:val="false"/>
                <w:color w:val="333333"/>
                <w:sz w:val="18"/>
              </w:rPr>
              <w:t>De meetprocedures en -technieken om de overeenkomst na te gaan met de vrijgaveniveaus bepaald in bijlage IB of in de vergunning, of om een nagenoeg volledig verval te waarborgen van radioactieve stoffen met een halveringstijd van minder dan zes maand, dienen conform te zijn met de richtlijnen die desgevallend door het Agentschap werden opgesteld of goedgekeurd. Elke vrijgave is onderworpen aan het akkoord van de dienst voor de fysische controle van de exploitant en verloopt overeenkomstig de gedetailleerde schriftelijke procedures die door deze worden uitgewerkt. [...]</w:t>
            </w:r>
          </w:p>
          <w:p>
            <w:pPr>
              <w:spacing w:before="0" w:after="0"/>
              <w:ind w:left="45"/>
              <w:jc w:val="left"/>
            </w:pPr>
          </w:p>
          <w:p>
            <w:pPr>
              <w:spacing w:before="0" w:after="0"/>
              <w:ind w:left="45"/>
              <w:jc w:val="left"/>
            </w:pPr>
            <w:r>
              <w:rPr>
                <w:rFonts w:ascii="Arial" w:hAnsi="Arial"/>
                <w:b w:val="false"/>
                <w:i w:val="false"/>
                <w:color w:val="333333"/>
                <w:sz w:val="18"/>
              </w:rPr>
              <w:t xml:space="preserve">35.4 </w:t>
            </w:r>
          </w:p>
          <w:p>
            <w:pPr>
              <w:spacing w:before="60" w:after="60"/>
              <w:ind w:left="45"/>
              <w:jc w:val="left"/>
            </w:pPr>
            <w:r>
              <w:rPr>
                <w:rFonts w:ascii="Arial" w:hAnsi="Arial"/>
                <w:b w:val="false"/>
                <w:i w:val="false"/>
                <w:color w:val="333333"/>
                <w:sz w:val="18"/>
              </w:rPr>
              <w:t>De opzettelijke verdunning met niet-radioactief materiaal om zo aan de vrijgaveniveaus bepaald in bijlage IB of in de vergunning te voldoen is verboden.</w:t>
            </w:r>
          </w:p>
          <w:p>
            <w:pPr>
              <w:spacing w:before="60" w:after="60"/>
              <w:ind w:left="45"/>
              <w:jc w:val="left"/>
            </w:pPr>
            <w:r>
              <w:rPr>
                <w:rFonts w:ascii="Arial" w:hAnsi="Arial"/>
                <w:b w:val="false"/>
                <w:i w:val="false"/>
                <w:color w:val="333333"/>
                <w:sz w:val="18"/>
              </w:rPr>
              <w:t>Daarenboven zal de totale activiteit van de vaste radioactieve afvalstoffen die worden verwijderd, gerecycleerd of hergebruikt, steeds op een zo laag als redelijkerwijze mogelijk niveau worden gehouden.</w:t>
            </w:r>
          </w:p>
          <w:p>
            <w:pPr>
              <w:spacing w:before="0" w:after="0"/>
              <w:ind w:left="45"/>
              <w:jc w:val="left"/>
            </w:pPr>
          </w:p>
          <w:p>
            <w:pPr>
              <w:spacing w:before="0" w:after="0"/>
              <w:ind w:left="45"/>
              <w:jc w:val="left"/>
            </w:pPr>
            <w:r>
              <w:rPr>
                <w:rFonts w:ascii="Arial" w:hAnsi="Arial"/>
                <w:b w:val="false"/>
                <w:i w:val="false"/>
                <w:color w:val="333333"/>
                <w:sz w:val="18"/>
              </w:rPr>
              <w:t xml:space="preserve">35.5 </w:t>
            </w:r>
          </w:p>
          <w:p>
            <w:pPr>
              <w:spacing w:before="60" w:after="60"/>
              <w:ind w:left="45"/>
              <w:jc w:val="left"/>
            </w:pPr>
            <w:r>
              <w:rPr>
                <w:rFonts w:ascii="Arial" w:hAnsi="Arial"/>
                <w:b w:val="false"/>
                <w:i w:val="false"/>
                <w:color w:val="333333"/>
                <w:sz w:val="18"/>
              </w:rPr>
              <w:t>De concentratie van diverse radioactieve stoffen aanwezig in bovenvermelde vaste radioactieve afvalstoffen, hun chemische en fysische aard, hun oorsprong, volume en massa, evenals hun bestemming dienen systematisch te worden geïnventariseerd door de exploitant en dienen ter beschikking gehouden van het Agentschap en van NIRAS.</w:t>
            </w:r>
          </w:p>
          <w:p>
            <w:pPr>
              <w:spacing w:before="60" w:after="60"/>
              <w:ind w:left="45"/>
              <w:jc w:val="left"/>
            </w:pPr>
            <w:r>
              <w:rPr>
                <w:rFonts w:ascii="Arial" w:hAnsi="Arial"/>
                <w:b w:val="false"/>
                <w:i w:val="false"/>
                <w:color w:val="333333"/>
                <w:sz w:val="18"/>
              </w:rPr>
              <w:t>Ten laatste de 1ste maart van elk jaar sturen de exploitanten, en bij ontstentenis de ondernemingshoofden, aan het Agentschap een overzicht van de afvalstoffen die tijdens het voorbije jaar werden vrijgegeven. Het model van dat overzicht wordt vastgesteld door het Agentschap.</w:t>
            </w:r>
          </w:p>
          <w:p>
            <w:pPr>
              <w:spacing w:before="60" w:after="60"/>
              <w:ind w:left="45"/>
              <w:jc w:val="left"/>
            </w:pPr>
            <w:r>
              <w:rPr>
                <w:rFonts w:ascii="Arial" w:hAnsi="Arial"/>
                <w:b w:val="false"/>
                <w:i w:val="false"/>
                <w:color w:val="333333"/>
                <w:sz w:val="18"/>
              </w:rPr>
              <w:t>De bestemming van de stoffen en het materiaal waarvoor een verwijdering naar een stortplaats of voor verbranding, een recyclage of een hergebruik zijn voorzien, dient te worden gecontroleerd en gewaarborgd door de exploitant en dit dient te worden aangetoond met de nodige documenten.</w:t>
            </w:r>
          </w:p>
          <w:p>
            <w:pPr>
              <w:spacing w:before="0" w:after="0"/>
              <w:ind w:left="45"/>
              <w:jc w:val="left"/>
            </w:pPr>
          </w:p>
          <w:p>
            <w:pPr>
              <w:spacing w:before="0" w:after="0"/>
              <w:ind w:left="45"/>
              <w:jc w:val="left"/>
            </w:pPr>
            <w:r>
              <w:rPr>
                <w:rFonts w:ascii="Arial" w:hAnsi="Arial"/>
                <w:b w:val="false"/>
                <w:i w:val="false"/>
                <w:color w:val="333333"/>
                <w:sz w:val="18"/>
              </w:rPr>
              <w:t xml:space="preserve">[35.6 </w:t>
            </w:r>
          </w:p>
          <w:p>
            <w:pPr>
              <w:spacing w:before="60" w:after="60"/>
              <w:ind w:left="45"/>
              <w:jc w:val="left"/>
            </w:pPr>
            <w:r>
              <w:rPr>
                <w:rFonts w:ascii="Arial" w:hAnsi="Arial"/>
                <w:b w:val="false"/>
                <w:i w:val="false"/>
                <w:color w:val="333333"/>
                <w:sz w:val="18"/>
              </w:rPr>
              <w:t>Het Agentschap kan een technisch reglement opstellen, waarin vrijgaveniveaus worden vastgelegd voor gebouwen, voor specifieke materialen of voor materialen afkomstig van specifieke handelingen, overeenkomstig de in punt 2. en punt 3. van bijlage IB bepaalde criteria. Het technisch reglement kan bijkomende voorschriften voor oppervlakteactiviteit en monitoring bevatten die nodig zijn om aan deze criteria te voldoen. Het technisch reglement houdt rekening met de overeenkomstige technische richtsnoeren van de Europese Gemeenschap voor Atoomenergie.</w:t>
            </w:r>
          </w:p>
          <w:p>
            <w:pPr>
              <w:spacing w:before="0" w:after="0"/>
              <w:ind w:left="45"/>
              <w:jc w:val="left"/>
            </w:pP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