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image/gif" PartName="/word/media/document_image_rId5.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Signaux d'avertissement, symboles et mentions</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Le signal d'avertissement pour les rayonnements ionisants dont l'utilisation est imposée par le présent règlement correspond au signal d'avertissement pour les matières radioactives prévu dans l'arrêté royal du 17 juin 1997 concernant la signalisation de sécurité et de santé au travail et ses annexes.</w:t>
            </w:r>
          </w:p>
          <w:p>
            <w:pPr>
              <w:spacing w:before="60" w:after="60"/>
              <w:ind w:left="45"/>
              <w:jc w:val="left"/>
            </w:pPr>
            <w:r>
              <w:rPr>
                <w:rFonts w:ascii="Arial" w:hAnsi="Arial"/>
                <w:b w:val="false"/>
                <w:i w:val="false"/>
                <w:color w:val="333333"/>
                <w:sz w:val="18"/>
              </w:rPr>
              <w:t>Les dimensions du signal d'avertissement peuvent varier selon l'endroit ou l'objet à signaler.</w:t>
            </w:r>
          </w:p>
          <w:p>
            <w:pPr>
              <w:spacing w:before="60" w:after="60"/>
              <w:ind w:left="45"/>
              <w:jc w:val="left"/>
            </w:pPr>
            <w:r>
              <w:rPr>
                <w:rFonts w:ascii="Arial" w:hAnsi="Arial"/>
                <w:b w:val="false"/>
                <w:i w:val="false"/>
                <w:color w:val="333333"/>
                <w:sz w:val="18"/>
              </w:rPr>
              <w:t>En ce qui concerne le symbole, qui se trouve dans le signal d'avertissement, les proportions définies par le schéma ci-après, sont respectées.</w:t>
            </w:r>
          </w:p>
          <w:p>
            <w:pPr>
              <w:spacing w:before="0" w:after="0"/>
              <w:ind w:left="45"/>
              <w:jc w:val="left"/>
            </w:pPr>
            <w:r>
              <w:rPr>
                <w:rFonts w:ascii="Arial" w:hAnsi="Arial"/>
                <w:b w:val="false"/>
                <w:i w:val="false"/>
                <w:color w:val="333333"/>
                <w:sz w:val="18"/>
              </w:rPr>
              <w:t xml:space="preserve"> </w:t>
            </w:r>
            <w:r>
              <w:drawing>
                <wp:inline distT="0" distB="0" distL="0" distR="0">
                  <wp:extent cx="2705100" cy="3429000"/>
                  <wp:effectExtent l="0" t="0" r="0" b="0"/>
                  <wp:docPr id="2"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34290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Le signal d'avertissement doit figurer: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à chaque entrée de toute zone [surveillée ou] contrôlée;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sur les portes d'accès des locaux où sont mises en œuvre, stockées ou détenues une ou des substances radioactives;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sur les récipients dans lesquels se trouvent des substances radioactives;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sur tout appareil émettant des radiations ionisantes, à l'exception des appareils susceptibles de faire ranger les établissements où ils sont détenus ou mis en œuvre parmi les établissements de classe IV visés par l'article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Sous le signal d'avertissement doivent figurer, inscrites de façon apparente et lisible, toutes les informations complémentaires destinées à avertir les personnes exposées des dangers qu'elles pourraient courir. En tout cas, les indications suivantes sont apportées:</w:t>
            </w:r>
          </w:p>
          <w:p>
            <w:pPr>
              <w:spacing w:before="60" w:after="60"/>
              <w:ind w:left="45"/>
              <w:jc w:val="left"/>
            </w:pPr>
            <w:r>
              <w:rPr>
                <w:rFonts w:ascii="Arial" w:hAnsi="Arial"/>
                <w:b w:val="false"/>
                <w:i w:val="false"/>
                <w:color w:val="333333"/>
                <w:sz w:val="18"/>
              </w:rPr>
              <w:t>“Intensité de radiation très élevée”, lorsque la dose susceptible d'être délivrée aux individus dépasse habituellement 1 millisievert par heure. En pareil cas, cette inscription, lorsqu'elle est apposée sur la porte d'accès d'un local, est doublée d'une signalisation acoustique et/ou visuelle sauf si l'accès est seulement possible avec la permission d'une personne compétente ou sous la surveillance du service de contrôle physique. Cette signalisation fonctionne en permanence ou se met en marche dès qu'une personne ouvre la porte d'accès du local ou y pénètre.</w:t>
            </w:r>
          </w:p>
          <w:p>
            <w:pPr>
              <w:spacing w:before="60" w:after="60"/>
              <w:ind w:left="45"/>
              <w:jc w:val="left"/>
            </w:pPr>
            <w:r>
              <w:rPr>
                <w:rFonts w:ascii="Arial" w:hAnsi="Arial"/>
                <w:b w:val="false"/>
                <w:i w:val="false"/>
                <w:color w:val="333333"/>
                <w:sz w:val="18"/>
              </w:rPr>
              <w:t>“Intensité de radiation élevée”, lorsque la dose susceptible d'être délivrée aux individus dépasse habituellement 0,2 millisievert par heure.</w:t>
            </w:r>
          </w:p>
          <w:p>
            <w:pPr>
              <w:spacing w:before="60" w:after="60"/>
              <w:ind w:left="45"/>
              <w:jc w:val="left"/>
            </w:pPr>
            <w:r>
              <w:rPr>
                <w:rFonts w:ascii="Arial" w:hAnsi="Arial"/>
                <w:b w:val="false"/>
                <w:i w:val="false"/>
                <w:color w:val="333333"/>
                <w:sz w:val="18"/>
              </w:rPr>
              <w:t>“Radiations ionisantes”, lorsque la dose susceptible d'être délivrée aux individus dépasse habituellement 20 microsievert par heure.</w:t>
            </w:r>
          </w:p>
          <w:p>
            <w:pPr>
              <w:spacing w:before="60" w:after="60"/>
              <w:ind w:left="45"/>
              <w:jc w:val="left"/>
            </w:pPr>
            <w:r>
              <w:rPr>
                <w:rFonts w:ascii="Arial" w:hAnsi="Arial"/>
                <w:b w:val="false"/>
                <w:i w:val="false"/>
                <w:color w:val="333333"/>
                <w:sz w:val="18"/>
              </w:rPr>
              <w:t>“Danger de contamination radioactive”, lorsque des sources non scellées sont entreposées ou utilisées.</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Tout récipient contenant des substances radioactives doit, en outre, porter de manière apparente les renseignements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quantités des diverses substances présentes;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nature physique et chimique de ces substances;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leurs activités;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nature des rayonnements émis;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 débit de dose au contact ou à 1m. Cette disposition ne s'applique pas aux récipients de laboratoire pendant leur utilisation par un opérateur et aussi longtemps que celui-ci reste présent;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[pour les sources scellées de haute activité: le numéro d'identification unique. Ce numéro est gravé ou imprimé sur la source et sur son conteneur lorsque cela est possible. Si cela n'est pas possible, ou en cas d'utilisation de contenants de transport réutilisables, des informations concernant au moins la nature de la source scellée de haute activité figurent sur le contenant de la source.]</w:t>
            </w:r>
          </w:p>
          <w:p>
            <w:pPr>
              <w:spacing w:before="60" w:after="60"/>
              <w:ind w:left="45"/>
              <w:jc w:val="left"/>
            </w:pPr>
            <w:r>
              <w:rPr>
                <w:rFonts w:ascii="Arial" w:hAnsi="Arial"/>
                <w:b w:val="false"/>
                <w:i w:val="false"/>
                <w:color w:val="333333"/>
                <w:sz w:val="18"/>
              </w:rPr>
              <w:t>[Les dispositions du présent article ne s'appliquent pas à l'étiquetage du conditionnement primaire et secondaire des produits radioactifs décrits dans l'arrêté royal du 12 juillet 2015, relatif aux produits radioactifs destinés à un usage in vitro et in vivo en médecine humaine, en médecine vétérinaire, dans un essai clinique ou dans une investigation clinique.]</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Les dispositions de cet article ne s'appliquent pas aux récipients, colis et véhicules contenant des substances radioactives, préparés pour le transport, pour autant que leur étiquetage soit réglé par [l'arrêté royal du 22 octobre 2017 concernant le transport de marchandises dangereuses de la classe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Les informations à l'attention des femmes enceintes ou allaitantes sont affichées dans les lieux appropriés, déterminés en concertation avec l'expert agréé en contrôle physique et le médecin agréé.</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Waarschuwingstekens, symbolen en vermeldingen</w:t>
            </w:r>
          </w:p>
          <w:p>
            <w:pPr>
              <w:spacing w:before="0" w:after="0"/>
              <w:ind w:left="45"/>
              <w:jc w:val="left"/>
            </w:pPr>
          </w:p>
          <w:p>
            <w:pPr>
              <w:spacing w:before="0" w:after="0"/>
              <w:ind w:left="45"/>
              <w:jc w:val="left"/>
            </w:pPr>
            <w:r>
              <w:rPr>
                <w:rFonts w:ascii="Arial" w:hAnsi="Arial"/>
                <w:b w:val="false"/>
                <w:i w:val="false"/>
                <w:color w:val="333333"/>
                <w:sz w:val="18"/>
              </w:rPr>
              <w:t xml:space="preserve">31.1 </w:t>
            </w:r>
          </w:p>
          <w:p>
            <w:pPr>
              <w:spacing w:before="60" w:after="60"/>
              <w:ind w:left="45"/>
              <w:jc w:val="left"/>
            </w:pPr>
            <w:r>
              <w:rPr>
                <w:rFonts w:ascii="Arial" w:hAnsi="Arial"/>
                <w:b w:val="false"/>
                <w:i w:val="false"/>
                <w:color w:val="333333"/>
                <w:sz w:val="18"/>
              </w:rPr>
              <w:t>Het waarschuwingsteken voor ioniserende stralingen waarvan het gebruik opgelegd wordt bij dit reglement komt overeen met het waarschuwingsteken voor radioactieve stoffen, zoals voorzien in het koninklijk besluit van 17 juni 1997 betreffende de veiligheids- en gezondheidssignalisatie op het werk en bijlagen.</w:t>
            </w:r>
          </w:p>
          <w:p>
            <w:pPr>
              <w:spacing w:before="60" w:after="60"/>
              <w:ind w:left="45"/>
              <w:jc w:val="left"/>
            </w:pPr>
            <w:r>
              <w:rPr>
                <w:rFonts w:ascii="Arial" w:hAnsi="Arial"/>
                <w:b w:val="false"/>
                <w:i w:val="false"/>
                <w:color w:val="333333"/>
                <w:sz w:val="18"/>
              </w:rPr>
              <w:t>De afmetingen van het waarschuwingsteken kunnen verschillen volgens de aan te duiden plaatsen of voorwerpen.</w:t>
            </w:r>
          </w:p>
          <w:p>
            <w:pPr>
              <w:spacing w:before="60" w:after="60"/>
              <w:ind w:left="45"/>
              <w:jc w:val="left"/>
            </w:pPr>
            <w:r>
              <w:rPr>
                <w:rFonts w:ascii="Arial" w:hAnsi="Arial"/>
                <w:b w:val="false"/>
                <w:i w:val="false"/>
                <w:color w:val="333333"/>
                <w:sz w:val="18"/>
              </w:rPr>
              <w:t>Voor wat het symbool betreft, dat zich in het waarschuwingsteken bevindt, worden de verhoudingen geëerbiedigd die in het schema hieronder worden bepaald.</w:t>
            </w:r>
          </w:p>
          <w:p>
            <w:pPr>
              <w:spacing w:before="0" w:after="0"/>
              <w:ind w:left="45"/>
              <w:jc w:val="left"/>
            </w:pPr>
            <w:r>
              <w:rPr>
                <w:rFonts w:ascii="Arial" w:hAnsi="Arial"/>
                <w:b w:val="false"/>
                <w:i w:val="false"/>
                <w:color w:val="333333"/>
                <w:sz w:val="18"/>
              </w:rPr>
              <w:t xml:space="preserve"> </w:t>
            </w:r>
            <w:r>
              <w:drawing>
                <wp:inline distT="0" distB="0" distL="0" distR="0">
                  <wp:extent cx="2667000" cy="3733800"/>
                  <wp:effectExtent l="0" t="0" r="0" b="0"/>
                  <wp:docPr id="3"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0" cy="3733800"/>
                          </a:xfrm>
                          <a:prstGeom prst="rect">
                            <a:avLst/>
                          </a:prstGeom>
                        </pic:spPr>
                      </pic:pic>
                    </a:graphicData>
                  </a:graphic>
                </wp:inline>
              </w:drawing>
            </w:r>
            <w:r>
              <w:rPr>
                <w:rFonts w:ascii="Arial" w:hAnsi="Arial"/>
                <w:b w:val="false"/>
                <w:i w:val="false"/>
                <w:color w:val="333333"/>
                <w:sz w:val="18"/>
              </w:rPr>
              <w:t xml:space="preserve"> </w:t>
            </w:r>
          </w:p>
          <w:p>
            <w:pPr>
              <w:spacing w:before="0" w:after="0"/>
              <w:ind w:left="45"/>
              <w:jc w:val="left"/>
            </w:pPr>
          </w:p>
          <w:p>
            <w:pPr>
              <w:spacing w:before="0" w:after="0"/>
              <w:ind w:left="45"/>
              <w:jc w:val="left"/>
            </w:pPr>
            <w:r>
              <w:rPr>
                <w:rFonts w:ascii="Arial" w:hAnsi="Arial"/>
                <w:b w:val="false"/>
                <w:i w:val="false"/>
                <w:color w:val="333333"/>
                <w:sz w:val="18"/>
              </w:rPr>
              <w:t xml:space="preserve">31.2 </w:t>
            </w:r>
          </w:p>
          <w:p>
            <w:pPr>
              <w:spacing w:before="0" w:after="0"/>
              <w:ind w:left="45"/>
              <w:jc w:val="left"/>
            </w:pPr>
            <w:r>
              <w:rPr>
                <w:rFonts w:ascii="Arial" w:hAnsi="Arial"/>
                <w:b w:val="false"/>
                <w:i w:val="false"/>
                <w:color w:val="333333"/>
                <w:sz w:val="18"/>
              </w:rPr>
              <w:t>Het waarschuwingsteken moet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bij elke toegang van iedere [bewaakte en] gecontroleerde zone;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op de toegangsdeuren van de lokalen waarin één of meerdere radioactieve stoffen worden aangewend, opgeslagen of in bezit gehouden;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op de recipiënten waarin zich radioactieve stoffen bevinden;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op elk toestel dat ioniserende stralingen uitzendt, met uitzondering van de toestellen die de inrichtingen waar zij in bezit gehouden of aangewend worden kunnen doen indelen onder de inrichtingen van klasse IV bedoeld bij artikel 3.1.d) [...].</w:t>
            </w:r>
          </w:p>
          <w:p>
            <w:pPr>
              <w:spacing w:before="0" w:after="0"/>
              <w:ind w:left="45"/>
              <w:jc w:val="left"/>
            </w:pPr>
          </w:p>
          <w:p>
            <w:pPr>
              <w:spacing w:before="0" w:after="0"/>
              <w:ind w:left="45"/>
              <w:jc w:val="left"/>
            </w:pPr>
            <w:r>
              <w:rPr>
                <w:rFonts w:ascii="Arial" w:hAnsi="Arial"/>
                <w:b w:val="false"/>
                <w:i w:val="false"/>
                <w:color w:val="333333"/>
                <w:sz w:val="18"/>
              </w:rPr>
              <w:t xml:space="preserve">31.3 </w:t>
            </w:r>
          </w:p>
          <w:p>
            <w:pPr>
              <w:spacing w:before="60" w:after="60"/>
              <w:ind w:left="45"/>
              <w:jc w:val="left"/>
            </w:pPr>
            <w:r>
              <w:rPr>
                <w:rFonts w:ascii="Arial" w:hAnsi="Arial"/>
                <w:b w:val="false"/>
                <w:i w:val="false"/>
                <w:color w:val="333333"/>
                <w:sz w:val="18"/>
              </w:rPr>
              <w:t>Onder het waarschuwingsteken moeten, zichtbaar en leesbaar, alle aanvullende inlichtingen voorkomen die bestemd zijn om de blootgestelde personen te waarschuwen voor de gevaren die zij kunnen lopen. In ieder geval worden volgende vermeldingen aangebracht:</w:t>
            </w:r>
          </w:p>
          <w:p>
            <w:pPr>
              <w:spacing w:before="60" w:after="60"/>
              <w:ind w:left="45"/>
              <w:jc w:val="left"/>
            </w:pPr>
            <w:r>
              <w:rPr>
                <w:rFonts w:ascii="Arial" w:hAnsi="Arial"/>
                <w:b w:val="false"/>
                <w:i w:val="false"/>
                <w:color w:val="333333"/>
                <w:sz w:val="18"/>
              </w:rPr>
              <w:t>“Zeer hoge stralingsintensiteit”, wanneer de dosis die aan de individuele personen kan worden afgeleverd gewoonlijk 1 millisievert per uur overschrijdt. In dergelijk geval gaat deze vermelding, wanneer ze op de toegangsdeur van een lokaal is aangebracht, gepaard met een geluids- en/of visuele signalisatie, behalve indien de toegang alleen mogelijk is na toelating van een bevoegd persoon of onder toezicht van de dienst voor fysische controle. Deze signalisatie werkt permanent of treedt in werking van zodra iemand de toegangsdeur van het lokaal opent of er binnentreedt.</w:t>
            </w:r>
          </w:p>
          <w:p>
            <w:pPr>
              <w:spacing w:before="60" w:after="60"/>
              <w:ind w:left="45"/>
              <w:jc w:val="left"/>
            </w:pPr>
            <w:r>
              <w:rPr>
                <w:rFonts w:ascii="Arial" w:hAnsi="Arial"/>
                <w:b w:val="false"/>
                <w:i w:val="false"/>
                <w:color w:val="333333"/>
                <w:sz w:val="18"/>
              </w:rPr>
              <w:t>“Hoge stralingsintensiteit”, wanneer de dosis die aan de individuele personen kan worden afgeleverd gewoonlijk 0,2 millisievert per uur overschrijdt.</w:t>
            </w:r>
          </w:p>
          <w:p>
            <w:pPr>
              <w:spacing w:before="60" w:after="60"/>
              <w:ind w:left="45"/>
              <w:jc w:val="left"/>
            </w:pPr>
            <w:r>
              <w:rPr>
                <w:rFonts w:ascii="Arial" w:hAnsi="Arial"/>
                <w:b w:val="false"/>
                <w:i w:val="false"/>
                <w:color w:val="333333"/>
                <w:sz w:val="18"/>
              </w:rPr>
              <w:t>“Ioniserende stralingen”, wanneer de dosis die aan de individuele personen kan worden afgeleverd gewoonlijk 20 microsievert per uur overschrijdt.</w:t>
            </w:r>
          </w:p>
          <w:p>
            <w:pPr>
              <w:spacing w:before="60" w:after="60"/>
              <w:ind w:left="45"/>
              <w:jc w:val="left"/>
            </w:pPr>
            <w:r>
              <w:rPr>
                <w:rFonts w:ascii="Arial" w:hAnsi="Arial"/>
                <w:b w:val="false"/>
                <w:i w:val="false"/>
                <w:color w:val="333333"/>
                <w:sz w:val="18"/>
              </w:rPr>
              <w:t>“Gevaar voor radioactieve besmetting”, wanneer niet-ingekapselde bronnen opgeslagen of aangewend worden.</w:t>
            </w:r>
          </w:p>
          <w:p>
            <w:pPr>
              <w:spacing w:before="0" w:after="0"/>
              <w:ind w:left="45"/>
              <w:jc w:val="left"/>
            </w:pPr>
          </w:p>
          <w:p>
            <w:pPr>
              <w:spacing w:before="0" w:after="0"/>
              <w:ind w:left="45"/>
              <w:jc w:val="left"/>
            </w:pPr>
            <w:r>
              <w:rPr>
                <w:rFonts w:ascii="Arial" w:hAnsi="Arial"/>
                <w:b w:val="false"/>
                <w:i w:val="false"/>
                <w:color w:val="333333"/>
                <w:sz w:val="18"/>
              </w:rPr>
              <w:t xml:space="preserve">31.4 </w:t>
            </w:r>
          </w:p>
          <w:p>
            <w:pPr>
              <w:spacing w:before="0" w:after="0"/>
              <w:ind w:left="45"/>
              <w:jc w:val="left"/>
            </w:pPr>
            <w:r>
              <w:rPr>
                <w:rFonts w:ascii="Arial" w:hAnsi="Arial"/>
                <w:b w:val="false"/>
                <w:i w:val="false"/>
                <w:color w:val="333333"/>
                <w:sz w:val="18"/>
              </w:rPr>
              <w:t>Op elke recipiënt die radioactieve stoffen bevat, moeten bovendien, op zichtbare wijze, de volgende inlichtingen voorkomen: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hoeveelheden van de verscheidene aanwezige stoffen;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fysische en chemische toestand van die stoffen;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activiteiten;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aard van de uitgezonden straling;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het dosistempo aan het buitenoppervlak of op 1 m. Deze bepaling is niet van toepassing op de laboratoriumrecipiënten tijdens hun gebruik door een operator en zolang deze aanwezig blijft;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 hoogactieve ingekapselde bronnen: het unieke identificatienummer. Dit nummer wordt op de bron en de broncontainer gegraveerd of gestempeld voorzover dit praktisch uitvoerbaar is. Indien dit niet praktisch uitvoerbaar is of in geval het gaat om transportcontainers die opnieuw kunnen worden gebruikt, is op de broncontainer tenminste informatie over de aard van de hoogactieve ingekapselde bron aangebracht.]</w:t>
            </w:r>
          </w:p>
          <w:p>
            <w:pPr>
              <w:spacing w:before="60" w:after="60"/>
              <w:ind w:left="45"/>
              <w:jc w:val="left"/>
            </w:pPr>
            <w:r>
              <w:rPr>
                <w:rFonts w:ascii="Arial" w:hAnsi="Arial"/>
                <w:b w:val="false"/>
                <w:i w:val="false"/>
                <w:color w:val="333333"/>
                <w:sz w:val="18"/>
              </w:rPr>
              <w:t>[De bepalingen van dit artikel zijn niet van toepassing op de etikettering van de primaire en secundaire verpakking van de radioactieve producten beschreven in het koninklijk besluit van 12 juli 2015, betreffende radioactieve producten voor in vitro of in vivo gebruik in de geneeskunde, in de diergeneeskunde, in een klinische proef of in een klinisch onderzoek.]</w:t>
            </w:r>
          </w:p>
          <w:p>
            <w:pPr>
              <w:spacing w:before="0" w:after="0"/>
              <w:ind w:left="45"/>
              <w:jc w:val="left"/>
            </w:pPr>
          </w:p>
          <w:p>
            <w:pPr>
              <w:spacing w:before="0" w:after="0"/>
              <w:ind w:left="45"/>
              <w:jc w:val="left"/>
            </w:pPr>
            <w:r>
              <w:rPr>
                <w:rFonts w:ascii="Arial" w:hAnsi="Arial"/>
                <w:b w:val="false"/>
                <w:i w:val="false"/>
                <w:color w:val="333333"/>
                <w:sz w:val="18"/>
              </w:rPr>
              <w:t xml:space="preserve">31.5 </w:t>
            </w:r>
          </w:p>
          <w:p>
            <w:pPr>
              <w:spacing w:before="60" w:after="60"/>
              <w:ind w:left="45"/>
              <w:jc w:val="left"/>
            </w:pPr>
            <w:r>
              <w:rPr>
                <w:rFonts w:ascii="Arial" w:hAnsi="Arial"/>
                <w:b w:val="false"/>
                <w:i w:val="false"/>
                <w:color w:val="333333"/>
                <w:sz w:val="18"/>
              </w:rPr>
              <w:t>De bepalingen van dit artikel zijn niet van toepassing op de recipiënten, colli en vervoermiddelen bestemd voor het vervoer van radioactieve stoffen, voor zover hun etikettering geregeld is door [het koninklijk besluit van 22 oktober 2017 betreffende het vervoer van gevaarlijke goederen van de klasse 7].</w:t>
            </w:r>
          </w:p>
          <w:p>
            <w:pPr>
              <w:spacing w:before="0" w:after="0"/>
              <w:ind w:left="45"/>
              <w:jc w:val="left"/>
            </w:pPr>
          </w:p>
          <w:p>
            <w:pPr>
              <w:spacing w:before="0" w:after="0"/>
              <w:ind w:left="45"/>
              <w:jc w:val="left"/>
            </w:pPr>
            <w:r>
              <w:rPr>
                <w:rFonts w:ascii="Arial" w:hAnsi="Arial"/>
                <w:b w:val="false"/>
                <w:i w:val="false"/>
                <w:color w:val="333333"/>
                <w:sz w:val="18"/>
              </w:rPr>
              <w:t xml:space="preserve">[31.6 </w:t>
            </w:r>
          </w:p>
          <w:p>
            <w:pPr>
              <w:spacing w:before="60" w:after="60"/>
              <w:ind w:left="45"/>
              <w:jc w:val="left"/>
            </w:pPr>
            <w:r>
              <w:rPr>
                <w:rFonts w:ascii="Arial" w:hAnsi="Arial"/>
                <w:b w:val="false"/>
                <w:i w:val="false"/>
                <w:color w:val="333333"/>
                <w:sz w:val="18"/>
              </w:rPr>
              <w:t>De informatie voor vrouwen tijdens hun zwangerschap en borstvoeding worden uitgehangen op de daartoe in overleg met de deskundige erkend in fysische controle en de erkende arts geschikt geachte plaatsen.</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gif" Type="http://schemas.openxmlformats.org/officeDocument/2006/relationships/image" Id="rId4"/>
    <Relationship Target="media/document_image_rId5.gif"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