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08/08/80 Loi Propositions budgétaires 1979-1980 - extrait</w:t>
            </w:r>
            <w:r>
              <w:br/>
            </w:r>
            <w:r>
              <w:rPr>
                <w:rFonts w:ascii="Arial" w:hAnsi="Arial"/>
                <w:b/>
                <w:i w:val="false"/>
                <w:color w:val="333333"/>
              </w:rPr>
              <w:t xml:space="preserve">Loi du 8 août 1980 relative aux propositions budgétaires 1979-1980 </w:t>
            </w:r>
          </w:p>
          <w:p>
            <w:pPr>
              <w:spacing w:before="0" w:after="75"/>
              <w:ind w:left="45"/>
              <w:jc w:val="left"/>
            </w:pP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08/08/80 Wet Budgettaire voorstellen 1979-1980 - uittreksel</w:t>
            </w:r>
            <w:r>
              <w:br/>
            </w:r>
            <w:r>
              <w:rPr>
                <w:rFonts w:ascii="Arial" w:hAnsi="Arial"/>
                <w:b/>
                <w:i w:val="false"/>
                <w:color w:val="333333"/>
              </w:rPr>
              <w:t xml:space="preserve">Wet van 8 augustus 1980 betreffende de budgettaire voorstellen 1979-1980 </w:t>
            </w:r>
          </w:p>
          <w:p>
            <w:pPr>
              <w:spacing w:before="0" w:after="75"/>
              <w:ind w:left="45"/>
              <w:jc w:val="left"/>
            </w:pP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III Affaires économiques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III Economische Zaken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1.re Mesures générales de structures dans le secteur économique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1 Algemene structuurmaatregelen in de economische sector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179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L'État est autorisé à prendre une participation dans le capital d'une société mixte qui a pour objet de gérer les activités relatives au cycle des combustibles nucléaires, [ainsi que les provisions constituées pour le démantèlement des centrales nucléaires et pour la gestion de matières fissiles irradiées dans ces centrales nucléaires] à l'exception des activités énoncées dans le § 2 ci-après.</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L'ensemble des coûts liés aux activités de la société, en ce compris les coûts des opérations de recherches scientifiques appliquées, sera mis à charge des sociétés et des organismes au bénéfice desquels ces prestations auront été effectuées.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[Il est constitué un organisme public, dénommé Organisme national des Déchets radioactifs et des Matières fissiles enrichies (ONDRAF). Cet Organisme est doté de la personnalité juridique. Le Roi fixe par arrêté délibéré en Conseil des Ministres le lieu d'établissement de l'Organisme, les principes de son fonctionnement, la composition de ses organes délibératifs et exécutifs, le mode de nomination des personnes appelées à y siéger, sa représentation en justice ainsi que l'organisation de son contrôle administratif. [Pour l'application des lois d'impôts fédérales, l'ONDRAF est assimilé à l'Etat.]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vue de garantir et d'assurer la protection des travailleurs, de la population et de l'environnement et sans préjudice de la responsabilité juridique et financière des producteurs de déchets, l'organisme est chargé de la gestion de tous les déchets radioactifs, quelles que soient leur origine et leur provenance [, d'établir un inventaire de toutes les installations nucléaires et de tous les sites contenant des substances radioactives, telles que définies par l'article 1.er de la loi du 15 avril 1994 relative à la protection de la population et de l'environnement contre les dangers résultant des rayonnements ionisants et relative à l'Agence fédérale de contrôle nucléaire,] ainsi que de certaines missions dans le domaine de la gestion des matières fissiles enrichies, des matières plutonifères, des combustibles irradiés, et de la dénucléarisation des installations nucléaires désaffectées. [Le président, les vice-présidents et les membres du conseil d'administration, créé par l'arrêté royal du 30 mars 1981 déterminant les missions et fixant les modalités de fonctionnement de l'organisme public de gestion des déchets radioactifs et des matières fissiles, représentent l'Etat ou une Région.]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L'Organisme ne pourra gérer des déchets d'origine étrangère qu'après avoir reçu l'accord de son autorité de tutelle.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missions relatives aux déchets radioactifs comprennent le transport en dehors des installations, le traitement et le conditionnement pour les producteurs qui ne disposent pas d'équipements agréés à cette fin par l'Organisme, l'entreposage en dehors des installations et l'évacuation, ainsi que la collecte et l'évaluation de toutes les informations nécessaires à l'exécution des missions précitées.</w:t>
            </w:r>
          </w:p>
          <w:p>
            <w:pPr>
              <w:spacing w:before="0" w:after="0"/>
              <w:ind w:left="390"/>
              <w:jc w:val="left"/>
            </w:pPr>
            <w:r>
              <w:rPr>
                <w:rFonts w:ascii="Arial" w:hAnsi="Arial"/>
                <w:b w:val="false"/>
                <w:i w:val="false"/>
                <w:color w:val="333333"/>
                <w:sz w:val="18"/>
              </w:rPr>
              <w:t>[Sur proposition de l'Organisme, le Roi fixe les règles générales pour l'établissement des critères visés à l'alinéa 4. La proposition de l'Organisme est préalablement soumise pour avis à l'Agence fédérale de Contrôle nucléaire conformément à l'article 15quater de la loi du 15 avril 1994 relative à la protection de la population et de l'environnement contre les dangers résultant des rayonnements ionisants et relative à l'Agence fédérale de Contrôle nucléaire, et est modifiée en conséquence par l'Organisme, qui est lié par l'avis.</w:t>
            </w:r>
          </w:p>
          <w:p>
            <w:pPr>
              <w:spacing w:before="0" w:after="0"/>
              <w:ind w:left="390"/>
              <w:jc w:val="left"/>
            </w:pPr>
            <w:r>
              <w:rPr>
                <w:rFonts w:ascii="Arial" w:hAnsi="Arial"/>
                <w:b w:val="false"/>
                <w:i w:val="false"/>
                <w:color w:val="333333"/>
                <w:sz w:val="18"/>
              </w:rPr>
              <w:t>Si le Roi décide de s'écarter de la proposition visée à l'alinéa 2, il en indique expressément les raisons dans sa décision, qui dans ce cas est adoptée après délibération en Conseil des ministres.</w:t>
            </w:r>
          </w:p>
          <w:p>
            <w:pPr>
              <w:spacing w:before="0" w:after="0"/>
              <w:ind w:left="390"/>
              <w:jc w:val="left"/>
            </w:pPr>
            <w:r>
              <w:rPr>
                <w:rFonts w:ascii="Arial" w:hAnsi="Arial"/>
                <w:b w:val="false"/>
                <w:i w:val="false"/>
                <w:color w:val="333333"/>
                <w:sz w:val="18"/>
              </w:rPr>
              <w:t>Sur la base des règles générales fixées par le Roi et après consultation des producteurs de déchets dans un comité consultatif déterminé par le Roi, l'Organisme établit les critères auxquels les déchets radioactifs conditionnés et non conditionnés doivent répondre pour être transférés vers l'Organisme en vue d'en assurer une gestion sûre et ce, pour tout ou partie des étapes de cette gestion, jusque et y compris le stockage. Ces critères ont un caractère principalement technique et non politique et sont appelés critères d'acceptation des déchets radioactifs conditionnés et non conditionnés. Le Roi désigne l'organe de gestion de l'Organisme qui est chargé d'approuver les critères d'acceptation. Les critères d'acceptation sont publiés sur le site web de l'Organisme.</w:t>
            </w:r>
          </w:p>
          <w:p>
            <w:pPr>
              <w:spacing w:before="0" w:after="0"/>
              <w:ind w:left="390"/>
              <w:jc w:val="left"/>
            </w:pPr>
            <w:r>
              <w:rPr>
                <w:rFonts w:ascii="Arial" w:hAnsi="Arial"/>
                <w:b w:val="false"/>
                <w:i w:val="false"/>
                <w:color w:val="333333"/>
                <w:sz w:val="18"/>
              </w:rPr>
              <w:t>Les critères d'acceptation sont, à tout moment, en adéquation avec les autorisations, délivrées par les autorités compétentes en vertu de la loi du 15 avril 1994 précitée, pour les installations nécessaires aux différentes étapes de gestion des différents types de déchets radioactifs depuis la production jusque et y compris le stockage. Les règles générales déterminent la manière dont cette adéquation est assurée. Ces critères d'acceptation sont évolutifs et peuvent être révisés périodiquement par l'Organisme.</w:t>
            </w:r>
          </w:p>
          <w:p>
            <w:pPr>
              <w:spacing w:before="0" w:after="0"/>
              <w:ind w:left="390"/>
              <w:jc w:val="left"/>
            </w:pPr>
            <w:r>
              <w:rPr>
                <w:rFonts w:ascii="Arial" w:hAnsi="Arial"/>
                <w:b w:val="false"/>
                <w:i w:val="false"/>
                <w:color w:val="333333"/>
                <w:sz w:val="18"/>
              </w:rPr>
              <w:t>Le Roi précise les modalités du système d'acceptation des déchets radioactifs conditionnés et non conditionnés, sur proposition de l'Organisme.</w:t>
            </w:r>
          </w:p>
          <w:p>
            <w:pPr>
              <w:spacing w:before="0" w:after="0"/>
              <w:ind w:left="390"/>
              <w:jc w:val="left"/>
            </w:pPr>
            <w:r>
              <w:rPr>
                <w:rFonts w:ascii="Arial" w:hAnsi="Arial"/>
                <w:b w:val="false"/>
                <w:i w:val="false"/>
                <w:color w:val="333333"/>
                <w:sz w:val="18"/>
              </w:rPr>
              <w:t>En vue d'assurer une gestion responsable et sûre des déchets radioactifs, les mesures nécessaires pour, le cas échéant, mettre ces déchets en conformité avec les critères établis, pour les différentes étapes de gestion, par l'Organisme conformément à l'alinéa 4, sont prises par les producteurs ou par l'Organisme selon que ces déchets ont été ou non transférés vers l'Organisme. Les coûts relatifs à ces mesures sont supportés par les bénéficiaires des prestations de l'Organisme ou par les personnes morales ou physiques qui succèdent à leurs droits et obligations.</w:t>
            </w:r>
          </w:p>
          <w:p>
            <w:pPr>
              <w:spacing w:before="0" w:after="0"/>
              <w:ind w:left="390"/>
              <w:jc w:val="left"/>
            </w:pPr>
            <w:r>
              <w:rPr>
                <w:rFonts w:ascii="Arial" w:hAnsi="Arial"/>
                <w:b w:val="false"/>
                <w:i w:val="false"/>
                <w:color w:val="333333"/>
                <w:sz w:val="18"/>
              </w:rPr>
              <w:t>Les dispositions des conventions conclues entre les producteurs et l'Organisme, qui sont impactées par les règles générales et les critères d'acceptation visés par les alinéas 2 à 4, sont de plein droit mises en conformité avec ces derniers.]</w:t>
            </w:r>
          </w:p>
          <w:p>
            <w:pPr>
              <w:spacing w:before="0" w:after="0"/>
              <w:ind w:left="390"/>
              <w:jc w:val="left"/>
            </w:pPr>
            <w:r>
              <w:rPr>
                <w:rFonts w:ascii="Arial" w:hAnsi="Arial"/>
                <w:b w:val="false"/>
                <w:i w:val="false"/>
                <w:color w:val="333333"/>
                <w:sz w:val="18"/>
              </w:rPr>
              <w:t>[En outre, l'organisme est habilité à prendre toute action et toute mesure qui est destinée à créer et à maintenir l'assise sociétale nécessaire pour assurer l'intégration d'une installation de dépôt final de déchets radioactifs dans une collectivité locale.]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présente loi est d'application sans préjudice des compétences spécifiques des autorités de sûreté en ce qui concerne la protection de la population et de l'environnement contre les dangers des radiations ionisantes, en particulier l'Agence fédérale de contrôle nucléaire, et son ministre de tutelle.]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[La mission relative à l'inventaire comprend l'établissement d'un répertoire de la localisation et de l'état de toutes les installations nucléaires et de tous les sites contenant des substances radioactives, l'estimation de leur coût de déclassement et d'assainissement, l'évaluation de l'existence et de la suffisance de provisions pour le financement de ces opérations futures ou en cours, et la mise à jour quinquennale de cet inventaire.</w:t>
            </w:r>
          </w:p>
          <w:p>
            <w:pPr>
              <w:spacing w:before="0" w:after="0"/>
              <w:ind w:left="390"/>
              <w:jc w:val="left"/>
            </w:pPr>
            <w:r>
              <w:rPr>
                <w:rFonts w:ascii="Arial" w:hAnsi="Arial"/>
                <w:b w:val="false"/>
                <w:i w:val="false"/>
                <w:color w:val="333333"/>
                <w:sz w:val="18"/>
              </w:rPr>
              <w:t>Les exploitants d'installations nucléaires et les détenteurs de substances radioactives, ou, à défaut, leurs propriétaires, sont tenus de fournir à l'Organisme, sous leur responsabilité et sur simple demande, les informations en vue de permettre d'établir l'inventaire sur la base d'une procédure établie par lui, définissant la forme et le contenu de ces informations.</w:t>
            </w:r>
          </w:p>
          <w:p>
            <w:pPr>
              <w:spacing w:before="0" w:after="0"/>
              <w:ind w:left="390"/>
              <w:jc w:val="left"/>
            </w:pPr>
            <w:r>
              <w:rPr>
                <w:rFonts w:ascii="Arial" w:hAnsi="Arial"/>
                <w:b w:val="false"/>
                <w:i w:val="false"/>
                <w:color w:val="333333"/>
                <w:sz w:val="18"/>
              </w:rPr>
              <w:t>L'Organisme peut enjoindre tout exploitant d'installations nucléaires et tout détenteur de substances radioactives, ou, à défaut, leurs propriétaires, de fournir, dans un délai donné, toutes informations nécessaires à l'établissement de l'inventaire. Ses délégués et mandataires disposeront, les jours ouvrables de huit à dix-sept heures, du droit d'accès aux installations et sites, ainsi qu'à tout document technique et comptable nécessaire pour l'établissement et la mise à jour de l'inventaire.</w:t>
            </w:r>
          </w:p>
          <w:p>
            <w:pPr>
              <w:spacing w:before="0" w:after="0"/>
              <w:ind w:left="390"/>
              <w:jc w:val="left"/>
            </w:pPr>
            <w:r>
              <w:rPr>
                <w:rFonts w:ascii="Arial" w:hAnsi="Arial"/>
                <w:b w:val="false"/>
                <w:i w:val="false"/>
                <w:color w:val="333333"/>
                <w:sz w:val="18"/>
              </w:rPr>
              <w:t>Ceux qui ne fournissent pas ou tardent à fournir les informations demandées, ceux qui fournissent des informations incomplètes ou erronées, ceux qui refusent l'accès à leurs installations et sites ou à tout document technique et comptable nécessaire pour l'établissement ou la mise à jour de l'inventaire, et, d'une manière générale, ceux qui refusent de prêter leur concours ou entravent l'exercice des missions de l'organisme, sont punis d'une amende de 1.000 à 10.000 [euros].</w:t>
            </w:r>
          </w:p>
          <w:p>
            <w:pPr>
              <w:spacing w:before="0" w:after="0"/>
              <w:ind w:left="390"/>
              <w:jc w:val="left"/>
            </w:pPr>
            <w:r>
              <w:rPr>
                <w:rFonts w:ascii="Arial" w:hAnsi="Arial"/>
                <w:b w:val="false"/>
                <w:i w:val="false"/>
                <w:color w:val="333333"/>
                <w:sz w:val="18"/>
              </w:rPr>
              <w:t>L'Organisme transmet cet inventaire à son ministre de tutelle qui enjoint, le cas échéant, tout exploitant d'installations nucléaires ou détenteur de substances radioactives ou, à défaut, leurs propriétaires, de prendre des mesures correctives.</w:t>
            </w:r>
          </w:p>
          <w:p>
            <w:pPr>
              <w:spacing w:before="0" w:after="0"/>
              <w:ind w:left="390"/>
              <w:jc w:val="left"/>
            </w:pPr>
            <w:r>
              <w:rPr>
                <w:rFonts w:ascii="Arial" w:hAnsi="Arial"/>
                <w:b w:val="false"/>
                <w:i w:val="false"/>
                <w:color w:val="333333"/>
                <w:sz w:val="18"/>
              </w:rPr>
              <w:t>Ceux qui ne se conforment pas aux injonctions du ministre seront punis d'une amende de 1.000 à 1.000.000 d'[euros].]</w:t>
            </w:r>
          </w:p>
          <w:p>
            <w:pPr>
              <w:spacing w:before="0" w:after="0"/>
              <w:ind w:left="90"/>
              <w:jc w:val="left"/>
            </w:pPr>
            <w:r>
              <w:rPr>
                <w:rFonts w:ascii="Arial" w:hAnsi="Arial"/>
                <w:b w:val="false"/>
                <w:i w:val="false"/>
                <w:color w:val="333333"/>
                <w:sz w:val="18"/>
              </w:rPr>
              <w:t>6°/1</w:t>
            </w:r>
          </w:p>
          <w:p>
            <w:pPr>
              <w:spacing w:before="0" w:after="0"/>
              <w:ind w:left="390"/>
              <w:jc w:val="left"/>
            </w:pPr>
            <w:r>
              <w:rPr>
                <w:rFonts w:ascii="Arial" w:hAnsi="Arial"/>
                <w:b w:val="false"/>
                <w:i w:val="false"/>
                <w:color w:val="333333"/>
                <w:sz w:val="18"/>
              </w:rPr>
              <w:t>[L'Organisme formule, dans l'inventaire, des recommandations à l'attention des ministres ayant l'Économie et l'Énergie dans leurs attributions, portant notamment sur le développement du cadre légal et réglementaire organisant la couverture des coûts nucléaires.</w:t>
            </w:r>
          </w:p>
          <w:p>
            <w:pPr>
              <w:spacing w:before="0" w:after="0"/>
              <w:ind w:left="390"/>
              <w:jc w:val="left"/>
            </w:pPr>
            <w:r>
              <w:rPr>
                <w:rFonts w:ascii="Arial" w:hAnsi="Arial"/>
                <w:b w:val="false"/>
                <w:i w:val="false"/>
                <w:color w:val="333333"/>
                <w:sz w:val="18"/>
              </w:rPr>
              <w:t>Sur la base de l'inventaire transmis par l'Organisme, les ministres ayant l'Économie et l'Énergie dans leurs attributions, chargent, le cas échéant, l'Organisme d'établir des propositions à l'attention des ministres compétents, en vue de mettre en œuvre les recommandations figurant dans l'inventaire.</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Roi détermine les conditions auxquelles l'Organisme pourra agréer les équipements destinés au traitement et au conditionnement visés à l'alinéa précédent ainsi que les modalités de recours.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Les missions relatives aux matières fissiles enrichies, aux matières plutonifères et aux combustibles irradiés sont le transport, en dehors des installations, des matières fissiles enrichies et plutonifères en quantités et en taux d'enrichissement dépassant les limites définies par le Roi, l'entreposage en dehors des installations des matières plutonifères excédentaires par rapport aux besoins opérationnels de l'installation, l'entreposage, en dehors des installations, de combustible irradié ou de combustible neuf pour lequel aucun usage n'est prévu, ainsi que la collecte et l'évaluation de toutes les informations nécessaires à l'exécution des missions précitées.</w:t>
            </w:r>
          </w:p>
          <w:p>
            <w:pPr>
              <w:spacing w:before="0" w:after="0"/>
              <w:ind w:left="390"/>
              <w:jc w:val="left"/>
            </w:pPr>
            <w:r>
              <w:rPr>
                <w:rFonts w:ascii="Arial" w:hAnsi="Arial"/>
                <w:b w:val="false"/>
                <w:i w:val="false"/>
                <w:color w:val="333333"/>
                <w:sz w:val="18"/>
              </w:rPr>
              <w:t>[Sur proposition de l'Organisme, le Roi fixe les règ333les générales pour l'établissement des critères objets de l'alinéa 4. La proposition de l'Organisme est préalablement soumise pour avis à l'Agence fédérale de Contrôle nucléaire conformément à l'article 15quater de la loi du 15 avril 1994 relative à la protection de la population et de l'environnement contre les dangers résultant des rayonnements ionisants et relative à l'Agence fédérale de Contrôle nucléaire, et est modifiée en conséquence par l'Organisme, qui est lié par l'avis. La proposition modifiée est transmise au Roi avec l'avis de l'Agence fédérale de Contrôle nucléaire.</w:t>
            </w:r>
          </w:p>
          <w:p>
            <w:pPr>
              <w:spacing w:before="0" w:after="0"/>
              <w:ind w:left="390"/>
              <w:jc w:val="left"/>
            </w:pPr>
            <w:r>
              <w:rPr>
                <w:rFonts w:ascii="Arial" w:hAnsi="Arial"/>
                <w:b w:val="false"/>
                <w:i w:val="false"/>
                <w:color w:val="333333"/>
                <w:sz w:val="18"/>
              </w:rPr>
              <w:t>Si le Roi décide de s'écarter de la proposition modifiée visée à l'alinéa 2, il en indique expressément les raisons dans sa décision, qui dans ce cas est adoptée après délibération en Conseil des ministres.</w:t>
            </w:r>
          </w:p>
          <w:p>
            <w:pPr>
              <w:spacing w:before="0" w:after="0"/>
              <w:ind w:left="390"/>
              <w:jc w:val="left"/>
            </w:pPr>
            <w:r>
              <w:rPr>
                <w:rFonts w:ascii="Arial" w:hAnsi="Arial"/>
                <w:b w:val="false"/>
                <w:i w:val="false"/>
                <w:color w:val="333333"/>
                <w:sz w:val="18"/>
              </w:rPr>
              <w:t>Sur la base des règles générales fixées par le Roi, après consultation des producteurs de déchets dans un comité consultatif déterminé par le Roi, l'Organisme établit les critères auxquels les quantités excédentaires doivent répondre pour être transférées vers l'Organisme en vue d'en assurer une gestion sûre jusqu'à leur déclaration comme déchet et ce, pour tout ou partie des étapes de gestion, jusques et y compris l'entreposage. Ces critères ont un caractère principalement technique et non politique et sont appelés critères d'acceptation des quantités excédentaires. Le Roi désigne un organe administratif de l'Organisme qui est chargé d'approuver les critères d'acceptation. Les critères d'acceptation sont publiés sur le site web de l'Organisme.</w:t>
            </w:r>
          </w:p>
          <w:p>
            <w:pPr>
              <w:spacing w:before="0" w:after="0"/>
              <w:ind w:left="390"/>
              <w:jc w:val="left"/>
            </w:pPr>
            <w:r>
              <w:rPr>
                <w:rFonts w:ascii="Arial" w:hAnsi="Arial"/>
                <w:b w:val="false"/>
                <w:i w:val="false"/>
                <w:color w:val="333333"/>
                <w:sz w:val="18"/>
              </w:rPr>
              <w:t>Les critères d'acceptation sont à tout moment en adéquation avec les autorisations, délivrées par les autorités compétentes en vertu de la loi du 15 avril 1994 précitée, pour les installations nécessaires aux différentes étapes de gestion depuis la production jusques et y compris l'entreposage. Les règles générales déterminent la manière dont cette adéquation est assurée. Ces critères d'acceptation sont évolutifs et peuvent être révisés périodiquement par l'Organisme.</w:t>
            </w:r>
          </w:p>
          <w:p>
            <w:pPr>
              <w:spacing w:before="0" w:after="0"/>
              <w:ind w:left="390"/>
              <w:jc w:val="left"/>
            </w:pPr>
            <w:r>
              <w:rPr>
                <w:rFonts w:ascii="Arial" w:hAnsi="Arial"/>
                <w:b w:val="false"/>
                <w:i w:val="false"/>
                <w:color w:val="333333"/>
                <w:sz w:val="18"/>
              </w:rPr>
              <w:t>Le Roi précise les modalités du système d'acceptation des quantités excédentaires, sur proposition de l'Organisme.</w:t>
            </w:r>
          </w:p>
          <w:p>
            <w:pPr>
              <w:spacing w:before="0" w:after="0"/>
              <w:ind w:left="390"/>
              <w:jc w:val="left"/>
            </w:pPr>
            <w:r>
              <w:rPr>
                <w:rFonts w:ascii="Arial" w:hAnsi="Arial"/>
                <w:b w:val="false"/>
                <w:i w:val="false"/>
                <w:color w:val="333333"/>
                <w:sz w:val="18"/>
              </w:rPr>
              <w:t>En vue d'assurer une gestion responsable et sûre des quantités excédentaires, les mesures nécessaires pour, le cas échéant, mettre ces quantités excédentaires en conformité avec les critères établis, pour les différentes étapes de gestion, par l'Organisme conformément à l'alinéa 4, sont prises par les producteurs ou par l'Organisme selon que ces quantités excédentaires ont été ou non transférées vers l'Organisme. Les coûts relatifs à ces mesures sont supportés par les bénéficiaires des prestations de l'Organisme ou par les personnes morales ou physiques qui succèdent à leurs droits et obligations.</w:t>
            </w:r>
          </w:p>
          <w:p>
            <w:pPr>
              <w:spacing w:before="0" w:after="0"/>
              <w:ind w:left="390"/>
              <w:jc w:val="left"/>
            </w:pPr>
            <w:r>
              <w:rPr>
                <w:rFonts w:ascii="Arial" w:hAnsi="Arial"/>
                <w:b w:val="false"/>
                <w:i w:val="false"/>
                <w:color w:val="333333"/>
                <w:sz w:val="18"/>
              </w:rPr>
              <w:t>Les dispositions des conventions conclues entre les producteurs et l'Organisme, qui sont impactées par les règles générales et les critères d'acceptation visés par les alinéas 2 à 4, sont de plein droit mises en conformité avec ces derniers.]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Les missions relatives au déclassement sont la collecte et l'évaluation de toutes les informations permettant à l'Organisme d'établir les programmes de gestion relatifs aux déchets qui en résulteront, l'accord sur le programme de déclassement des installations contaminées, ainsi que l'exécution de ce programme à la demande de l'exploitant ou en cas de défaillance de celui-ci.</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L'Organisme peut faire toutes les opérations nécessaires ou utiles à la réalisation de son objet.</w:t>
            </w:r>
          </w:p>
          <w:p>
            <w:pPr>
              <w:spacing w:before="0" w:after="0"/>
              <w:ind w:left="390"/>
              <w:jc w:val="left"/>
            </w:pPr>
            <w:r>
              <w:rPr>
                <w:rFonts w:ascii="Arial" w:hAnsi="Arial"/>
                <w:b w:val="false"/>
                <w:i w:val="false"/>
                <w:color w:val="333333"/>
                <w:sz w:val="18"/>
              </w:rPr>
              <w:t>Il peut notamment passer toutes conventions, emprunter, subroger des tiers dans ses créances, céder celles-ci ou en disposer de toute autre manière, accepter tous arrangements même concordataires, transiger et compromettre, abandonner toutes créances et sûretés, renoncer à tous recours et conclure des conventions d'arbitrage. [Pour exécuter ses missions l'organisme peut, directement ou indirectement, participer à des sociétés, associations, groupements d'intérêt et autres personnes morales, ainsi qu'à des organes de concertation et de gestion, et constituer les structures précitées pour autant que la participation ou la constitution contribue à la réalisation des missions de l'Organisme. La décision de participer à ou de créer une société commerciale est approuvée par le Roi, par arrêté délibéré en Conseil des ministres.] [L'Organisme peut être habilité par le Roi, par la voie d'un arrêté délibéré en Conseil des Ministres à procéder, en son nom et pour son compte, à des expropriations indispensables à la réalisation de ses objets et des tâches qui lui ont été imposées.]</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L'ensemble des coûts liés aux activités de l'Organisme, en ce compris les coûts de ses opérations de recherche, de développement et de démonstration, et les coûts à long terme [mais à l'exception de ceux liés aux activités des deux premières années en matière d'inventaire], seront mis à charge des sociétés, organismes, institutions ou personnes au bénéfice desquels l'Organisme effectue a ses prestations. Ces coûts, évalués à prix de revient, seront répartis entre les bénéficiaires des prestations et proportionnellement à celles-ci, en fonction de critères objectifs.</w:t>
            </w:r>
          </w:p>
          <w:p>
            <w:pPr>
              <w:spacing w:before="0" w:after="0"/>
              <w:ind w:left="390"/>
              <w:jc w:val="left"/>
            </w:pPr>
            <w:r>
              <w:rPr>
                <w:rFonts w:ascii="Arial" w:hAnsi="Arial"/>
                <w:b w:val="false"/>
                <w:i w:val="false"/>
                <w:color w:val="333333"/>
                <w:sz w:val="18"/>
              </w:rPr>
              <w:t>[Les coûts suivants sont couverts par des redevances mises à charge des exploitants des installations nucléaires et des détenteurs de substances radioactives, ou, à défaut, de leurs propriétaires, des bénéficiaires des prestations de l'Organisme ou des personnes morales ou physiques qui succèdent à leurs droits et obligations: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coûts liés à l'établissement et à la tenue à jour de l'inventaire visé au 6°;</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coûts liés à la mise en œuvre des tâches dont les ministres ayant l'Économie et l'Énergie dans leurs attributions ont chargé l'Organisme sur la base des recommandations formulées dans l'inventaire visé au 6°;</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les coûts liés aux missions suivantes:</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l'établissement des propositions de Politiques nationales en matière de gestion des déchets radioactifs et du combustible usé, visées au paragraphe 6;</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le développement et la mise en œuvre des mesures destinées à assurer une participation effective du public au processus de prise de décision relatif à la gestion du combustible usé et des déchets radioactifs, visées au paragraphe 6, notamment en vue d'instituer et maintenir les Politiques nationales visées au même paragraphe;</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le secrétariat du Comité du Programme national chargé de proposer aux ministres ayant l'Économie et l'Énergie dans leurs attributions, le Programme national de gestion du combustible usé et des déchets radioactifs et ses mises à jour, visés au paragraphe 8;</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la coordination des activités d'établissement et de notification du rapport sur la mise en œuvre de la directive 2011/70/Euratom, visé au paragraphe 9, 1.;</w:t>
            </w:r>
          </w:p>
          <w:p>
            <w:pPr>
              <w:spacing w:before="0" w:after="0"/>
              <w:ind w:left="780"/>
              <w:jc w:val="left"/>
            </w:pPr>
            <w:r>
              <w:rPr>
                <w:rFonts w:ascii="Arial" w:hAnsi="Arial"/>
                <w:b w:val="false"/>
                <w:i w:val="false"/>
                <w:color w:val="333333"/>
                <w:sz w:val="18"/>
              </w:rPr>
              <w:t>v.</w:t>
            </w:r>
          </w:p>
          <w:p>
            <w:pPr>
              <w:spacing w:before="0" w:after="0"/>
              <w:ind w:left="1080"/>
              <w:jc w:val="left"/>
            </w:pPr>
            <w:r>
              <w:rPr>
                <w:rFonts w:ascii="Arial" w:hAnsi="Arial"/>
                <w:b w:val="false"/>
                <w:i w:val="false"/>
                <w:color w:val="333333"/>
                <w:sz w:val="18"/>
              </w:rPr>
              <w:t>les autoévaluations et les évaluations internationales par les pairs du Programme national et de sa mise en œuvre, visées au paragraphe 9, 2. et 3.</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coûts des deux premières années d'établissement de l'inventaire seront portés à charge du Fonds de la sécurité technique des installations nucléaires du Ministère de l'Emploi et du Travail et du Fonds pour la protection contre les radiations ionisantes du Ministère des Affaires sociales, de la Santé publique et de l'Environnement.]</w:t>
            </w:r>
          </w:p>
          <w:p>
            <w:pPr>
              <w:spacing w:before="0" w:after="0"/>
              <w:ind w:left="390"/>
              <w:jc w:val="left"/>
            </w:pPr>
            <w:r>
              <w:rPr>
                <w:rFonts w:ascii="Arial" w:hAnsi="Arial"/>
                <w:b w:val="false"/>
                <w:i w:val="false"/>
                <w:color w:val="333333"/>
                <w:sz w:val="18"/>
              </w:rPr>
              <w:t>[L'Organisme peut constituer un fonds de financement de ses missions à long terme, aussi appelé Fonds à long terme. Ce Fonds a pour objet de couvrir tous les coûts et investissements qui sont nécessaires en vue d'entreposer les déchets radioactifs et de construire, d'exploiter et de fermer des installations de dépôt final de déchets radioactifs, ainsi que d'en assurer le contrôle institutionnel, conformément aux autorisations délivrées pour exercer ces activités.</w:t>
            </w:r>
          </w:p>
          <w:p>
            <w:pPr>
              <w:spacing w:before="0" w:after="0"/>
              <w:ind w:left="390"/>
              <w:jc w:val="left"/>
            </w:pPr>
            <w:r>
              <w:rPr>
                <w:rFonts w:ascii="Arial" w:hAnsi="Arial"/>
                <w:b w:val="false"/>
                <w:i w:val="false"/>
                <w:color w:val="333333"/>
                <w:sz w:val="18"/>
              </w:rPr>
              <w:t>Le Fonds à long terme est alimenté par des redevances mises à charge des producteurs de déchets radioactifs. Ces redevances sont calculées en fonction des charges qui sont imputables aux déchets respectifs de ces producteurs et qui sont estimées sur la base des principes directeurs établis par le Roi, par arrêté délibéré en Conseil des ministres.</w:t>
            </w:r>
          </w:p>
          <w:p>
            <w:pPr>
              <w:spacing w:before="0" w:after="0"/>
              <w:ind w:left="390"/>
              <w:jc w:val="left"/>
            </w:pPr>
            <w:r>
              <w:rPr>
                <w:rFonts w:ascii="Arial" w:hAnsi="Arial"/>
                <w:b w:val="false"/>
                <w:i w:val="false"/>
                <w:color w:val="333333"/>
                <w:sz w:val="18"/>
              </w:rPr>
              <w:t>Les valeurs de ces principes directeurs ainsi que certaines modalités d'alimentation du fonds à long terme sont fixées de commun accord entre l'Organisme et les producteurs de déchets, et font l'objet de conventions passées à cet effet. En cas d'impossibilité de fixer ces valeurs et ces modalités par voie conventionnelle, celles-ci sont établies par le Roi, par arrêté délibéré en Conseil des ministres, sur avis conforme de l'Organisme.</w:t>
            </w:r>
          </w:p>
          <w:p>
            <w:pPr>
              <w:spacing w:before="0" w:after="0"/>
              <w:ind w:left="390"/>
              <w:jc w:val="left"/>
            </w:pPr>
            <w:r>
              <w:rPr>
                <w:rFonts w:ascii="Arial" w:hAnsi="Arial"/>
                <w:b w:val="false"/>
                <w:i w:val="false"/>
                <w:color w:val="333333"/>
                <w:sz w:val="18"/>
              </w:rPr>
              <w:t>L'organisme peut constituer un fonds, aussi appelé Fonds à moyen terme, destiné à couvrir les coûts des conditions associées qui ont été approuvées, d'une part, par le(s) conseil(s) communal(-aux) de(s) la(les) commune(s) qui a (ont) rendu possibles la création et la continuité d'une assise sociétale pour implanter une installation de dépôt final, par le développement et le maintien d'un processus participatif ou de toute autre méthode ou procédé, existant ou à élaborer, atteignant le même résultat et, d'autre part, sur proposition de l'Organisme, par le gouvernement fédéral.</w:t>
            </w:r>
          </w:p>
          <w:p>
            <w:pPr>
              <w:spacing w:before="0" w:after="0"/>
              <w:ind w:left="390"/>
              <w:jc w:val="left"/>
            </w:pPr>
            <w:r>
              <w:rPr>
                <w:rFonts w:ascii="Arial" w:hAnsi="Arial"/>
                <w:b w:val="false"/>
                <w:i w:val="false"/>
                <w:color w:val="333333"/>
                <w:sz w:val="18"/>
              </w:rPr>
              <w:t>Ces coûts sont exposés en vue de créer et de maintenir l'assise sociétale requise pour assurer l'intégration d'une installation de dépôt final de déchets radioactifs dans une collectivité locale.</w:t>
            </w:r>
          </w:p>
          <w:p>
            <w:pPr>
              <w:spacing w:before="0" w:after="0"/>
              <w:ind w:left="390"/>
              <w:jc w:val="left"/>
            </w:pPr>
            <w:r>
              <w:rPr>
                <w:rFonts w:ascii="Arial" w:hAnsi="Arial"/>
                <w:b w:val="false"/>
                <w:i w:val="false"/>
                <w:color w:val="333333"/>
                <w:sz w:val="18"/>
              </w:rPr>
              <w:t>En tout état de cause, les moyens du Fonds à moyen terme peuvent être utilisés pour financer tout ou partie des coûts liés à l'investissement et à l'exploitation des infrastructures, ainsi qu'aux activités et aux projets de la collectivité locale qui, par le biais d'un processus participatif, assure la continuité de l'assise sociétale du dépôt final.</w:t>
            </w:r>
          </w:p>
          <w:p>
            <w:pPr>
              <w:spacing w:before="0" w:after="0"/>
              <w:ind w:left="390"/>
              <w:jc w:val="left"/>
            </w:pPr>
            <w:r>
              <w:rPr>
                <w:rFonts w:ascii="Arial" w:hAnsi="Arial"/>
                <w:b w:val="false"/>
                <w:i w:val="false"/>
                <w:color w:val="333333"/>
                <w:sz w:val="18"/>
              </w:rPr>
              <w:t>Le Fonds à moyen terme est alimenté par la cotisation d'intégration prélevée auprès des producteurs de déchets radioactifs. La cotisation d'intégration est calculée sur la base de la capacité totale du dépôt et des quantités totales respectives de déchets des producteurs qui sont destinées à y être déposées.</w:t>
            </w:r>
          </w:p>
          <w:p>
            <w:pPr>
              <w:spacing w:before="0" w:after="0"/>
              <w:ind w:left="390"/>
              <w:jc w:val="left"/>
            </w:pPr>
            <w:r>
              <w:rPr>
                <w:rFonts w:ascii="Arial" w:hAnsi="Arial"/>
                <w:b w:val="false"/>
                <w:i w:val="false"/>
                <w:color w:val="333333"/>
                <w:sz w:val="18"/>
              </w:rPr>
              <w:t>Le montant de la cotisation d'intégration due pour alimenter le Fonds à moyen terme est fixé comme suit:</w:t>
            </w:r>
          </w:p>
          <w:p>
            <w:pPr>
              <w:spacing w:before="0" w:after="0"/>
              <w:ind w:left="390"/>
              <w:jc w:val="left"/>
            </w:pPr>
            <w:r>
              <w:rPr>
                <w:rFonts w:ascii="Arial" w:hAnsi="Arial"/>
                <w:b w:val="false"/>
                <w:i w:val="false"/>
                <w:color w:val="333333"/>
                <w:sz w:val="18"/>
              </w:rPr>
              <w:t>Hp = (Qp / Qt) × T × FC</w:t>
            </w:r>
          </w:p>
          <w:p>
            <w:pPr>
              <w:spacing w:before="0" w:after="0"/>
              <w:ind w:left="390"/>
              <w:jc w:val="left"/>
            </w:pPr>
            <w:r>
              <w:rPr>
                <w:rFonts w:ascii="Arial" w:hAnsi="Arial"/>
                <w:b w:val="false"/>
                <w:i w:val="false"/>
                <w:color w:val="333333"/>
                <w:sz w:val="18"/>
              </w:rPr>
              <w:t>où:</w:t>
            </w:r>
          </w:p>
          <w:p>
            <w:pPr>
              <w:spacing w:before="0" w:after="0"/>
              <w:ind w:left="390"/>
              <w:jc w:val="left"/>
            </w:pPr>
            <w:r>
              <w:rPr>
                <w:rFonts w:ascii="Arial" w:hAnsi="Arial"/>
                <w:b w:val="false"/>
                <w:i w:val="false"/>
                <w:color w:val="333333"/>
                <w:sz w:val="18"/>
              </w:rPr>
              <w:t>Hp = le montant de la contribution au Fonds à moyen terme due par le producteur de déchets P;</w:t>
            </w:r>
          </w:p>
          <w:p>
            <w:pPr>
              <w:spacing w:before="0" w:after="0"/>
              <w:ind w:left="390"/>
              <w:jc w:val="left"/>
            </w:pPr>
            <w:r>
              <w:rPr>
                <w:rFonts w:ascii="Arial" w:hAnsi="Arial"/>
                <w:b w:val="false"/>
                <w:i w:val="false"/>
                <w:color w:val="333333"/>
                <w:sz w:val="18"/>
              </w:rPr>
              <w:t>T = le montant total de la contribution au Fonds à moyen terme;</w:t>
            </w:r>
          </w:p>
          <w:p>
            <w:pPr>
              <w:spacing w:before="0" w:after="0"/>
              <w:ind w:left="390"/>
              <w:jc w:val="left"/>
            </w:pPr>
            <w:r>
              <w:rPr>
                <w:rFonts w:ascii="Arial" w:hAnsi="Arial"/>
                <w:b w:val="false"/>
                <w:i w:val="false"/>
                <w:color w:val="333333"/>
                <w:sz w:val="18"/>
              </w:rPr>
              <w:t>Qt = la capacité totale du dépôt, exprimée en m</w:t>
            </w:r>
            <w:r>
              <w:rPr>
                <w:rFonts w:ascii="Arial" w:hAnsi="Arial"/>
                <w:b w:val="false"/>
                <w:i w:val="false"/>
                <w:color w:val="333333"/>
                <w:sz w:val="18"/>
                <w:vertAlign w:val="superscript"/>
              </w:rPr>
              <w:t>3</w:t>
            </w:r>
            <w:r>
              <w:rPr>
                <w:rFonts w:ascii="Arial" w:hAnsi="Arial"/>
                <w:b w:val="false"/>
                <w:i w:val="false"/>
                <w:color w:val="333333"/>
                <w:sz w:val="18"/>
              </w:rPr>
              <w:t>, telle que reprise dans la demande de l'autorisation de création du dépôt, conformément à la loi du 15 avril 1994 relative à la protection de la population et de l'environnement contre les dangers résultant des rayonnements ionisants et relative à l'Agence fédérale de Contrôle nucléaire;</w:t>
            </w:r>
          </w:p>
          <w:p>
            <w:pPr>
              <w:spacing w:before="0" w:after="0"/>
              <w:ind w:left="390"/>
              <w:jc w:val="left"/>
            </w:pPr>
            <w:r>
              <w:rPr>
                <w:rFonts w:ascii="Arial" w:hAnsi="Arial"/>
                <w:b w:val="false"/>
                <w:i w:val="false"/>
                <w:color w:val="333333"/>
                <w:sz w:val="18"/>
              </w:rPr>
              <w:t>Qp = la quantité totale de déchets, exprimée en m</w:t>
            </w:r>
            <w:r>
              <w:rPr>
                <w:rFonts w:ascii="Arial" w:hAnsi="Arial"/>
                <w:b w:val="false"/>
                <w:i w:val="false"/>
                <w:color w:val="333333"/>
                <w:sz w:val="18"/>
                <w:vertAlign w:val="superscript"/>
              </w:rPr>
              <w:t>3</w:t>
            </w:r>
            <w:r>
              <w:rPr>
                <w:rFonts w:ascii="Arial" w:hAnsi="Arial"/>
                <w:b w:val="false"/>
                <w:i w:val="false"/>
                <w:color w:val="333333"/>
                <w:sz w:val="18"/>
              </w:rPr>
              <w:t>, réservée au producteur P, destinée à être mise en dépôt final dans le site de dépôt, mise à jour au premier janvier de l'année d'entrée en vigueur de la taxe;</w:t>
            </w:r>
          </w:p>
          <w:p>
            <w:pPr>
              <w:spacing w:before="0" w:after="0"/>
              <w:ind w:left="390"/>
              <w:jc w:val="left"/>
            </w:pPr>
            <w:r>
              <w:rPr>
                <w:rFonts w:ascii="Arial" w:hAnsi="Arial"/>
                <w:b w:val="false"/>
                <w:i w:val="false"/>
                <w:color w:val="333333"/>
                <w:sz w:val="18"/>
              </w:rPr>
              <w:t>FC = facteur correctif tenant compte des exemptions.</w:t>
            </w:r>
          </w:p>
          <w:p>
            <w:pPr>
              <w:spacing w:before="0" w:after="0"/>
              <w:ind w:left="390"/>
              <w:jc w:val="left"/>
            </w:pPr>
            <w:r>
              <w:rPr>
                <w:rFonts w:ascii="Arial" w:hAnsi="Arial"/>
                <w:b w:val="false"/>
                <w:i w:val="false"/>
                <w:color w:val="333333"/>
                <w:sz w:val="18"/>
              </w:rPr>
              <w:t>L'Organisme recouvre la cotisation d'intégration, selon les modalités et au moment fixés par le Roi. Le montant T pour le Fonds à moyen terme constitué pour le dépôt en surface des déchets de catégorie A sur le territoire de la commune de Dessel s'élève à 130.000.000 euro. Sur proposition de l'Organisme, le Roi fixe la valeur de Qt, de Qp et de FC, par arrêté délibéré en Conseil des ministres.</w:t>
            </w:r>
          </w:p>
          <w:p>
            <w:pPr>
              <w:spacing w:before="0" w:after="0"/>
              <w:ind w:left="390"/>
              <w:jc w:val="left"/>
            </w:pPr>
            <w:r>
              <w:rPr>
                <w:rFonts w:ascii="Arial" w:hAnsi="Arial"/>
                <w:b w:val="false"/>
                <w:i w:val="false"/>
                <w:color w:val="333333"/>
                <w:sz w:val="18"/>
              </w:rPr>
              <w:t>Le montant T est indexé annuellement sur la base des fluctuations de l'indice des prix à la consommation à partir de l'année 2010 jusque l'année au cours de laquelle le montant T est intégralement prélevé auprès des producteurs. Au cours de la période de prélèvement, les prélèvements effectués sont soustraits du montant T avant de procéder à l'indexation.</w:t>
            </w:r>
          </w:p>
          <w:p>
            <w:pPr>
              <w:spacing w:before="0" w:after="0"/>
              <w:ind w:left="390"/>
              <w:jc w:val="left"/>
            </w:pPr>
            <w:r>
              <w:rPr>
                <w:rFonts w:ascii="Arial" w:hAnsi="Arial"/>
                <w:b w:val="false"/>
                <w:i w:val="false"/>
                <w:color w:val="333333"/>
                <w:sz w:val="18"/>
              </w:rPr>
              <w:t>L'obligation de contribuer au Fonds à moyen terme débute dès l'instant où l'installation de dépôt final des déchets radioactifs a fait l'objet d'une autorisation définitive et exécutoire de création, conformément à la loi du 15 avril 1994 relative à la protection de la population et de l'environnement contre les dangers résultant des rayonnements ionisants et relative à l'Agence fédérale de Contrôle nucléaire, ainsi que d'une autorisation de bâtir, et, le cas échéant, d'une autorisation d'environnement, conformément à la législation régionale applicable.</w:t>
            </w:r>
          </w:p>
          <w:p>
            <w:pPr>
              <w:spacing w:before="0" w:after="0"/>
              <w:ind w:left="390"/>
              <w:jc w:val="left"/>
            </w:pPr>
            <w:r>
              <w:rPr>
                <w:rFonts w:ascii="Arial" w:hAnsi="Arial"/>
                <w:b w:val="false"/>
                <w:i w:val="false"/>
                <w:color w:val="333333"/>
                <w:sz w:val="18"/>
              </w:rPr>
              <w:t>A condition que leur part individuelle de capacité n'excède pas 3 % de la capacité totale du dépôt, les institutions publiques de recherche émargeant majoritairement au budget de l'Etat, d'une Communauté ou d'une Région, et les institutions, publiques ou privées, actives dans le secteur des soins de santé, sont dispensées du paiement de la cotisation d'intégration. Pour autant que leur part individuelle de capacité n'excède pas le seuil précité, les producteurs occasionnels de déchets radioactifs sont également dispensés.</w:t>
            </w:r>
          </w:p>
          <w:p>
            <w:pPr>
              <w:spacing w:before="0" w:after="0"/>
              <w:ind w:left="390"/>
              <w:jc w:val="left"/>
            </w:pPr>
            <w:r>
              <w:rPr>
                <w:rFonts w:ascii="Arial" w:hAnsi="Arial"/>
                <w:b w:val="false"/>
                <w:i w:val="false"/>
                <w:color w:val="333333"/>
                <w:sz w:val="18"/>
              </w:rPr>
              <w:t>Peuvent, en tout état de cause, bénéficier des moyens du Fonds à moyen terme, la collectivité locale et/ou ses habitants qui ont permis la création et la continuité d'une assise sociétale pour implanter une installation de dépôt final, par le développement et le maintien d'un processus participatif ou de toute autre méthode, existante ou à élaborer, atteignant le même résultat, ou la collectivité locale et/ou ses habitants consulté(s) dans le cadre de la procédure d'autorisation établie en application de la loi du 15 avril 1994 relative à la protection de la population et de l'environnement contre les dangers résultant des rayonnements ionisants et relative à l'Agence fédérale de Contrôle nucléaire.</w:t>
            </w:r>
          </w:p>
          <w:p>
            <w:pPr>
              <w:spacing w:before="0" w:after="0"/>
              <w:ind w:left="390"/>
              <w:jc w:val="left"/>
            </w:pPr>
            <w:r>
              <w:rPr>
                <w:rFonts w:ascii="Arial" w:hAnsi="Arial"/>
                <w:b w:val="false"/>
                <w:i w:val="false"/>
                <w:color w:val="333333"/>
                <w:sz w:val="18"/>
              </w:rPr>
              <w:t>Les moyens du Fonds à moyen terme peuvent être utilisés dès que débute le prélèvement de la cotisation d'intégration auprès des producteurs, conformément au point 14° du présent paragraphe.</w:t>
            </w:r>
          </w:p>
          <w:p>
            <w:pPr>
              <w:spacing w:before="0" w:after="0"/>
              <w:ind w:left="390"/>
              <w:jc w:val="left"/>
            </w:pPr>
            <w:r>
              <w:rPr>
                <w:rFonts w:ascii="Arial" w:hAnsi="Arial"/>
                <w:b w:val="false"/>
                <w:i w:val="false"/>
                <w:color w:val="333333"/>
                <w:sz w:val="18"/>
              </w:rPr>
              <w:t>Un comité de surveillance est constitué au sein de l'Organisme et est chargé de contrôler l'affectation des moyens du Fonds à moyen terme. Le Roi fixe sa composition et les modalités d'exercice de sa mission, par un arrêté délibéré en Conseil des ministres.]</w:t>
            </w:r>
          </w:p>
          <w:p>
            <w:pPr>
              <w:spacing w:before="0" w:after="0"/>
              <w:ind w:left="90"/>
              <w:jc w:val="left"/>
            </w:pPr>
            <w:r>
              <w:rPr>
                <w:rFonts w:ascii="Arial" w:hAnsi="Arial"/>
                <w:b w:val="false"/>
                <w:i w:val="false"/>
                <w:color w:val="333333"/>
                <w:sz w:val="18"/>
              </w:rPr>
              <w:t>[11°bis</w:t>
            </w:r>
          </w:p>
          <w:p>
            <w:pPr>
              <w:spacing w:before="0" w:after="0"/>
              <w:ind w:left="390"/>
              <w:jc w:val="left"/>
            </w:pPr>
            <w:r>
              <w:rPr>
                <w:rFonts w:ascii="Arial" w:hAnsi="Arial"/>
                <w:b w:val="false"/>
                <w:i w:val="false"/>
                <w:color w:val="333333"/>
                <w:sz w:val="18"/>
              </w:rPr>
              <w:t>En vue de recouvrer la cotisation d'intégration qui alimente le Fonds à moyen terme, l'Organisme adresse une demande écrite à chaque producteur, dans le délai et selon les modalités fixées par le Roi. Cette demande spécifie le montant dû et mentionne le numéro de compte sur lequel celui-ci doit être versé. Le producteur dispose d'un délai de maximum 50 jours calendrier à partir du lendemain de l'envoi de la demande écrite par l'Organisme pour procéder au paiement. A défaut de paiement dans ce délai, l'Organisme met le producteur en demeure de payer dans un délai de 15 jours calendriers à compter du lendemain de l'envoi de la mise en demeure.</w:t>
            </w:r>
          </w:p>
          <w:p>
            <w:pPr>
              <w:spacing w:before="0" w:after="0"/>
              <w:ind w:left="390"/>
              <w:jc w:val="left"/>
            </w:pPr>
            <w:r>
              <w:rPr>
                <w:rFonts w:ascii="Arial" w:hAnsi="Arial"/>
                <w:b w:val="false"/>
                <w:i w:val="false"/>
                <w:color w:val="333333"/>
                <w:sz w:val="18"/>
              </w:rPr>
              <w:t>Si le producteur n'effectue pas le paiement de la cotisation d'intégration conformément aux conditions fixées à l'alinéa précédent, et ce en l'absence de toute justification, ou lorsque les justifications données ne sont pas jugées valables par l'Organisme, celui-ci peut lui imposer une amende administrative dont le montant s'élève à maximum 30 % de la somme non payée. La décision d'imposer une amende administrative est notifiée au producteur par lettre recommandée. La notification mentionne le mode et le délai de paiement.</w:t>
            </w:r>
          </w:p>
          <w:p>
            <w:pPr>
              <w:spacing w:before="0" w:after="0"/>
              <w:ind w:left="390"/>
              <w:jc w:val="left"/>
            </w:pPr>
            <w:r>
              <w:rPr>
                <w:rFonts w:ascii="Arial" w:hAnsi="Arial"/>
                <w:b w:val="false"/>
                <w:i w:val="false"/>
                <w:color w:val="333333"/>
                <w:sz w:val="18"/>
              </w:rPr>
              <w:t>Tout litige relatif à une amende administrative imposée en vue d'assurer l'alimentation du Fonds à moyen terme est porté devant le tribunal de première instance. Sous peine de déchéance, le tribunal est saisi par voie de requête introduite dans les deux mois qui suivent la notification de l'amende.]</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[Le Roi peut, par arrêté délibéré en Conseil des ministres, conformément aux dispositions du 11° du présent paragraphe, réglementer les modalités de financement des activités de l'Organisme.</w:t>
            </w:r>
          </w:p>
          <w:p>
            <w:pPr>
              <w:spacing w:before="0" w:after="0"/>
              <w:ind w:left="390"/>
              <w:jc w:val="left"/>
            </w:pPr>
            <w:r>
              <w:rPr>
                <w:rFonts w:ascii="Arial" w:hAnsi="Arial"/>
                <w:b w:val="false"/>
                <w:i w:val="false"/>
                <w:color w:val="333333"/>
                <w:sz w:val="18"/>
              </w:rPr>
              <w:t>La délégation prévue à l'alinéa précédent n'a pas pour objet de déterminer les éléments constitutifs essentiels de la cotisation d'intégration perçue au profit du Fonds à moyen terme.]</w:t>
            </w:r>
          </w:p>
          <w:p>
            <w:pPr>
              <w:spacing w:before="0" w:after="0"/>
              <w:ind w:left="390"/>
              <w:jc w:val="left"/>
            </w:pPr>
            <w:r>
              <w:rPr>
                <w:rFonts w:ascii="Arial" w:hAnsi="Arial"/>
                <w:b w:val="false"/>
                <w:i w:val="false"/>
                <w:color w:val="333333"/>
                <w:sz w:val="18"/>
              </w:rPr>
              <w:t>Dans le but de garantir l'équilibre financier de l'Organisme, le Roi est autorisé à inclure dans le coût des prestations une quote-part destinée à constituer des provisions pour pallier la faillite ou l'insolvabilité éventuelle de certains producteurs, et ce à concurrence d'un maximum de 5% du coût des prestations.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Il est fait annuellement rapport aux Chambres législatives sur les activités et le financement de l'Organisme, ainsi que sur la manière dont la population est informée, à propos des domaines d'activité de l'Organisme.</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La représentation des Régions dans les différents organes d'administration et de gestion de l'Organisme est réglée conformément à la disposition de l'article 92ter de la loi spéciale du 8 août 1980 de réformes institutionnelles.]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Les activités de l'Organisme, ainsi que celles couvertes par le Fonds à moyen terme, peuvent être financés de manière additionnelle à partir des ressources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legs et donations en sa faveur;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subsides et revenus occasionnels;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toutes autres recettes légales et réglementaires liées à son action et les indemnités pour prestations.]</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Outre la compétence générale qui lui est attribuée au 10°, l'Organisme dispose, dans le cadre des activités qu'il mène afin de créer et de maintenir une assise sociétale nécessaire à l'intégration d'une installation de dépôt définitif de déchets radioactifs, de la compétence spécifique de créer un fonds doté de la personnalité juridique, nommé Fonds Local, qui a pour objectif de créer une plus-value durable pour une collectivité locale. Le Fonds local prend la forme d'une fondation de droit privé qui, dans la mesure où il n'y est pas dérogé par la présente loi, est soumise à la loi du 27 juin 1921 sur les associations sans but lucratif, les associations internationales sans but lucratif et les fondations.</w:t>
            </w:r>
          </w:p>
          <w:p>
            <w:pPr>
              <w:spacing w:before="0" w:after="0"/>
              <w:ind w:left="390"/>
              <w:jc w:val="left"/>
            </w:pPr>
            <w:r>
              <w:rPr>
                <w:rFonts w:ascii="Arial" w:hAnsi="Arial"/>
                <w:b w:val="false"/>
                <w:i w:val="false"/>
                <w:color w:val="333333"/>
                <w:sz w:val="18"/>
              </w:rPr>
              <w:t>Les moyens du Fonds local proviennent du Fonds à moyen terme constitué par l'Organisme conformément au 11° du présent paragraphe.</w:t>
            </w:r>
          </w:p>
          <w:p>
            <w:pPr>
              <w:spacing w:before="0" w:after="0"/>
              <w:ind w:left="390"/>
              <w:jc w:val="left"/>
            </w:pPr>
            <w:r>
              <w:rPr>
                <w:rFonts w:ascii="Arial" w:hAnsi="Arial"/>
                <w:b w:val="false"/>
                <w:i w:val="false"/>
                <w:color w:val="333333"/>
                <w:sz w:val="18"/>
              </w:rPr>
              <w:t>L'Organisme établit les statuts du Fonds local. Toute modification de ces statuts est subordonnée à l'accord préalable de l'Organisme. Le droit d'introduire une demande de modification des statuts devant le tribunal de première instance, conformément à l'article 30, § 3, de la loi du 27 juin 1921 sur les associations sans but lucratif, les associations internationales sans but lucratif et les fondations, revient, par dérogation à cette disposition, exclusivement à l'Organisme.</w:t>
            </w:r>
          </w:p>
          <w:p>
            <w:pPr>
              <w:spacing w:before="0" w:after="0"/>
              <w:ind w:left="390"/>
              <w:jc w:val="left"/>
            </w:pPr>
            <w:r>
              <w:rPr>
                <w:rFonts w:ascii="Arial" w:hAnsi="Arial"/>
                <w:b w:val="false"/>
                <w:i w:val="false"/>
                <w:color w:val="333333"/>
                <w:sz w:val="18"/>
              </w:rPr>
              <w:t>Des compartiments distincts peuvent être établis au sein du patrimoine du Fonds local. Les compartiments sont gérés séparément les uns des autres sur le plan administratif, comptable et financier, selon les modalités arrêtées dans les statuts du Fonds local. Si, conformément à ce qui précède, différents compartiments sont créés au sein du patrimoine du Fonds local:</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toute opération est obligatoirement imputée de manière explicite sur un ou plusieurs compartiments;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par dérogation aux articles 7 et 8 de la loi hypothécaire du 16 décembre 1851, les actifs d'un compartiment répondent exclusivement des droits des créanciers de ce compartiment et les droits de ces créanciers sont limités aux actifs de ce compartiment;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ces compartiments sont liquidés séparément.</w:t>
            </w:r>
          </w:p>
          <w:p>
            <w:pPr>
              <w:spacing w:before="0" w:after="0"/>
              <w:ind w:left="390"/>
              <w:jc w:val="left"/>
            </w:pPr>
            <w:r>
              <w:rPr>
                <w:rFonts w:ascii="Arial" w:hAnsi="Arial"/>
                <w:b w:val="false"/>
                <w:i w:val="false"/>
                <w:color w:val="333333"/>
                <w:sz w:val="18"/>
              </w:rPr>
              <w:t>En plus du contrôle général effectué par le comité de surveillance visé au dernier alinéa du 11° du présent paragraphe, le Fonds local est soumis à un contrôle spécifique de l'Organisme portant sur le respect de ses statuts, des règlements internes établis en exécution de ces statuts ainsi que, de façon générale, de la législation et de la réglementation applicables au Fonds local. L'Organisme peut exercer ce contrôle par l'entremise d'un observateur qu'il désigne conformément aux modalités prévues par le Roi. Afin d'exercer ce contrôle, l'Organisme et l'observateur qu'il désigne disposent des droits d'observation, d'information et d'inspection les plus étendus. Dans le cadre de ce contrôle spécifique, l'Organisme et l'observateur sont habilités à suspendre et à annuler les décisions prises par les organes du Fonds local. Les modalités selon lesquelles ce contrôle spécifique s'exerce sont fixées par le Roi, par arrêté délibéré en Conseil des ministres.</w:t>
            </w:r>
          </w:p>
          <w:p>
            <w:pPr>
              <w:spacing w:before="0" w:after="0"/>
              <w:ind w:left="390"/>
              <w:jc w:val="left"/>
            </w:pPr>
            <w:r>
              <w:rPr>
                <w:rFonts w:ascii="Arial" w:hAnsi="Arial"/>
                <w:b w:val="false"/>
                <w:i w:val="false"/>
                <w:color w:val="333333"/>
                <w:sz w:val="18"/>
              </w:rPr>
              <w:t>Outre les hypothèses où peuvent s'appliquer les cas de dissolution, par le tribunal de première instance, visés à l'article 39 de la loi du 27 juin 1921 sur les associations sans but lucratif, les associations internationales sans but lucratif et les fondations, le Fonds local peut être dissout par une décision de l'Organisme: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dans les cas visés aux points 1° à 4° du premier alinéa de l'article 39 précité;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en cas d'une annulation répétée des décisions sur la base de la tutelle d'annulation visée à l'alinéa 5.</w:t>
            </w:r>
          </w:p>
          <w:p>
            <w:pPr>
              <w:spacing w:before="0" w:after="0"/>
              <w:ind w:left="390"/>
              <w:jc w:val="left"/>
            </w:pPr>
            <w:r>
              <w:rPr>
                <w:rFonts w:ascii="Arial" w:hAnsi="Arial"/>
                <w:b w:val="false"/>
                <w:i w:val="false"/>
                <w:color w:val="333333"/>
                <w:sz w:val="18"/>
              </w:rPr>
              <w:t>L'article 40, paragraphe 1</w:t>
            </w:r>
            <w:r>
              <w:rPr>
                <w:rFonts w:ascii="Arial" w:hAnsi="Arial"/>
                <w:b w:val="false"/>
                <w:i w:val="false"/>
                <w:color w:val="333333"/>
                <w:sz w:val="18"/>
                <w:vertAlign w:val="superscript"/>
              </w:rPr>
              <w:t>er</w:t>
            </w:r>
            <w:r>
              <w:rPr>
                <w:rFonts w:ascii="Arial" w:hAnsi="Arial"/>
                <w:b w:val="false"/>
                <w:i w:val="false"/>
                <w:color w:val="333333"/>
                <w:sz w:val="18"/>
              </w:rPr>
              <w:t>, de la loi du 27 juin 1921 sur les associations sans but lucratif, les associations internationales sans but lucratif et les fondations, n'est pas applicable à la liquidation du Fonds local. Seul l'Organisme peut intervenir en qualité de liquidateur du Fonds local. Lors de la dissolution du Fonds local, l'Organisme acquiert de plein droit la qualité de liquidateur du Fonds local et définit la manière de liquider ce fonds, que cette dissolution soit décidée par l'Organisme conformément à l'alinéa précédent ou par le tribunal de première instance conformément à l'article 39 de la loi du 27 juin 1921 sur les associations sans but lucratif, les associations internationales sans but lucratif et les fondations.</w:t>
            </w:r>
          </w:p>
          <w:p>
            <w:pPr>
              <w:spacing w:before="0" w:after="0"/>
              <w:ind w:left="390"/>
              <w:jc w:val="left"/>
            </w:pPr>
            <w:r>
              <w:rPr>
                <w:rFonts w:ascii="Arial" w:hAnsi="Arial"/>
                <w:b w:val="false"/>
                <w:i w:val="false"/>
                <w:color w:val="333333"/>
                <w:sz w:val="18"/>
              </w:rPr>
              <w:t>Le patrimoine subsistant après la liquidation du Fonds local retourne vers le Fonds à moyen terme et est réaffecté à la couverture des coûts des conditions complémentaires destinées à être financées par ce dernier fonds. L'article 28, 6°, de la loi du 27 juin 1921 sur les associations sans but lucratif, les associations internationales sans but lucratif et les fondations n'est pas applicable au Fonds local.]</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 contrôle des activités de la société mixte définies au § 1</w:t>
            </w:r>
            <w:r>
              <w:rPr>
                <w:rFonts w:ascii="Arial" w:hAnsi="Arial"/>
                <w:b w:val="false"/>
                <w:i w:val="false"/>
                <w:color w:val="333333"/>
                <w:sz w:val="18"/>
                <w:vertAlign w:val="superscript"/>
              </w:rPr>
              <w:t>er</w:t>
            </w:r>
            <w:r>
              <w:rPr>
                <w:rFonts w:ascii="Arial" w:hAnsi="Arial"/>
                <w:b w:val="false"/>
                <w:i w:val="false"/>
                <w:color w:val="333333"/>
                <w:sz w:val="18"/>
              </w:rPr>
              <w:t xml:space="preserve"> et de celles de l'organisme public définies au § 2 sera exercé par l'organisation nationale du contrôle des activités nucléaires.</w:t>
            </w:r>
          </w:p>
          <w:p>
            <w:pPr>
              <w:spacing w:before="60" w:after="60"/>
              <w:ind w:left="45"/>
              <w:jc w:val="left"/>
            </w:pPr>
            <w:r>
              <w:rPr>
                <w:rFonts w:ascii="Arial" w:hAnsi="Arial"/>
                <w:b w:val="false"/>
                <w:i w:val="false"/>
                <w:color w:val="333333"/>
                <w:sz w:val="18"/>
              </w:rPr>
              <w:t>La société et l'organisme garderont l'entière responsabilité de la surveillance des opérations et de la sécurité de leurs installations.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 retraitement des matières fissiles, en Belgique, ne peut débuter que lorsque les Chambres législatives se seront prononcées sur son principe.</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0" w:after="0"/>
              <w:ind w:left="45"/>
              <w:jc w:val="left"/>
            </w:pPr>
            <w:r>
              <w:rPr>
                <w:rFonts w:ascii="Arial" w:hAnsi="Arial"/>
                <w:b w:val="false"/>
                <w:i w:val="false"/>
                <w:color w:val="333333"/>
                <w:sz w:val="18"/>
              </w:rPr>
              <w:t>Au sens du présent article, il faut entendre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Fermeture: l'achèvement de toutes les opérations consécutives au dépôt de combustible usé ou de déchets radioactifs dans une installation de stockage, y compris les derniers ouvrages ou autres travaux requis pour assurer, à long terme, la sûreté de l'installation;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Autorité de réglementation compétente: l'Agence fédérale de Contrôle nucléaire, créée par l'article 2 de la loi du 15 avril 1994 relative à la protection de la population et de l'environnement contre les dangers résultant des rayonnements ionisants et relative à l'Agence fédérale de Contrôle nucléaire;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Stockage: le dépôt de combustible usé ou de déchets radioactifs dans une installation, sans intention de retrait ultérieur mais sans préjudice de la possibilité de procéder, le cas échéant, à la récupération d'un déchet conformément aux modalités définies dans les Politiques nationales visées aux § 6 et § 7 du présent article;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Installation de stockage: toute installation ayant pour objectif principal le stockage de déchets radioactifs;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Autorisation: tout document juridique permettant d'entreprendre toute activité ayant trait à la gestion du combustible usé ou des déchets radioactifs, à la conception, à la construction, à la mise en service, à l'exploitation, au démantèlement ou à la fermeture d'une installation de gestion du combustible usé ou des déchets radioactifs;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Titulaire d'une autorisation: une personne morale ou physique à laquelle une autorisation a été délivrée;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Déchet radioactif: une substance radioactive sous forme gazeuse, liquide ou solide pour laquelle aucune utilisation ultérieure n'est prévue ou envisagée par l'Etat ou par une personne morale ou physique dont la décision est acceptée par l'adoption d'une Politique nationale relative à cette substance visée aux § 6 et § 7 du présent article et qui est considérée comme un déchet radioactif par l'autorité de réglementation compétente, ou si cette substance doit être considérée comme déchet radioactif sur une base légale ou réglementaire;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Gestion des déchets radioactifs: toutes les activités liées notamment à la manipulation, au transport, au prétraitement, au traitement, au conditionnement, à l'entreposage ou au stockage des déchets radioactifs;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Installation de gestion de déchets radioactifs: toute installation ayant pour objectif principal la gestion de déchets radioactifs;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Retraitement: un processus ou une opération dont l'objet est d'extraire des isotopes radioactifs du combustible usé aux fins d'utilisation ultérieure;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Combustible usé: le combustible nucléaire irradié dans le cœur d'un réacteur et qui en a été définitivement retiré; le combustible usé peut soit être considéré comme une ressource valorisable qui peut être réutilisée ou retraitée, soit être destiné au stockage s'il est considéré comme un déchet radioactif;</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Gestion du combustible usé: toutes les activités liées notamment à la manipulation, au transport, à l'entreposage, au retraitement ou au stockage du combustible usé;</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Installation de gestion de combustible usé: toute installation ayant pour objectif principal la gestion du combustible usé;</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Entreposage: le maintien de combustible usé ou de déchets radioactifs dans une installation, avec intention de retrait ultérieur;</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[Quantités excédentaires: quantités de matières fissiles enrichies, de matières plutonifères et de combustible neuf ou irradié pour lesquelles aucune utilisation ou transformation ultérieure n'est prévue par le producteur ou l'exploitant.]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6 </w:t>
            </w:r>
          </w:p>
          <w:p>
            <w:pPr>
              <w:spacing w:before="0" w:after="0"/>
              <w:ind w:left="45"/>
              <w:jc w:val="left"/>
            </w:pPr>
            <w:r>
              <w:rPr>
                <w:rFonts w:ascii="Arial" w:hAnsi="Arial"/>
                <w:b w:val="false"/>
                <w:i w:val="false"/>
                <w:color w:val="333333"/>
                <w:sz w:val="18"/>
              </w:rPr>
              <w:t>[Tenant compte de la nécessité d'une participation effective du public au processus de prise de décision, le Roi institue et maintient, par arrêté délibéré en Conseil des ministres, sur proposition de l'Organisme et après avis de l'autorité de réglementation compétente, des Politiques nationales en matière de gestion des déchets radioactifs et du combustible usé, en fonction des caractéristiques physiques, chimiques et radiologiques des déchets et du combustible usé, reposant au minimum sur les principes généraux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production de déchets radioactifs est maintenue au niveau le plus bas qu'il est raisonnablement possible d'atteindre en termes d'activités et de volume, au moyen de mesures de conception appropriées et de pratiques d'exploitation et de démantèlement, y compris le retraitement et la réutilisation des substances;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l'interdépendance des différentes étapes de la production et de la gestion du combustible usé et des déchets radioactifs est prise en considération;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combustible usé et les déchets radioactifs sont gérés de manière sûre, la sûreté à long terme d'une installation de stockage reposant notamment sur des dispositifs de sûreté qui doivent pouvoir devenir passifs à long terme;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mesures sont mises en œuvre selon une approche graduée;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coûts de gestion du combustible usé et des déchets radioactifs sont supportés par ceux qui ont produit ces substances;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 processus décisionnel documenté et fondé sur des données probantes régit toutes les étapes de la gestion du combustible usé et des déchets radioactifs.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Politiques nationales visées au premier alinéa sont considérées comme des plans ou programmes au sens de la loi du 13 février 2006 relative à l'évaluation des incidences de certains plans et programmes sur l'environnement et à la participation du public dans l'élaboration des plans et des programmes relatifs à l'environnement.</w:t>
            </w:r>
          </w:p>
          <w:p>
            <w:pPr>
              <w:spacing w:before="60" w:after="60"/>
              <w:ind w:left="45"/>
              <w:jc w:val="left"/>
            </w:pPr>
            <w:r>
              <w:rPr>
                <w:rFonts w:ascii="Arial" w:hAnsi="Arial"/>
                <w:b w:val="false"/>
                <w:i w:val="false"/>
                <w:color w:val="333333"/>
                <w:sz w:val="18"/>
              </w:rPr>
              <w:t>[Le Roi fixe sur proposition de l'Organisme les mécanismes de participation effective du public au processus de prise de décision relatif à la gestion du combustible usé et des déchets radioactifs.]</w:t>
            </w:r>
          </w:p>
          <w:p>
            <w:pPr>
              <w:spacing w:before="60" w:after="60"/>
              <w:ind w:left="45"/>
              <w:jc w:val="left"/>
            </w:pPr>
            <w:r>
              <w:rPr>
                <w:rFonts w:ascii="Arial" w:hAnsi="Arial"/>
                <w:b w:val="false"/>
                <w:i w:val="false"/>
                <w:color w:val="333333"/>
                <w:sz w:val="18"/>
              </w:rPr>
              <w:t>Les Politiques nationales en matière de gestion des déchets radioactifs et du combustible usé considéré comme déchet contiennent des modalités de réversibilité, de récupérabilité et de monitoring pour une période à déterminer en tant qu'éléments de conception et d'exploitation de chaque installation de stockage Ces modalités sont établies en tenant compte de la nécessité d'assurer la sûreté de l'installation de stockage.</w:t>
            </w:r>
          </w:p>
          <w:p>
            <w:pPr>
              <w:spacing w:before="60" w:after="60"/>
              <w:ind w:left="45"/>
              <w:jc w:val="left"/>
            </w:pPr>
            <w:r>
              <w:rPr>
                <w:rFonts w:ascii="Arial" w:hAnsi="Arial"/>
                <w:b w:val="false"/>
                <w:i w:val="false"/>
                <w:color w:val="333333"/>
                <w:sz w:val="18"/>
              </w:rPr>
              <w:t>Les Politiques nationales contiennent le choix des sites des installations de stockage sur proposition de l'Organisme qui consulte l'autorité de réglementation compétente.</w:t>
            </w:r>
          </w:p>
          <w:p>
            <w:pPr>
              <w:spacing w:before="60" w:after="60"/>
              <w:ind w:left="45"/>
              <w:jc w:val="left"/>
            </w:pPr>
            <w:r>
              <w:rPr>
                <w:rFonts w:ascii="Arial" w:hAnsi="Arial"/>
                <w:b w:val="false"/>
                <w:i w:val="false"/>
                <w:color w:val="333333"/>
                <w:sz w:val="18"/>
              </w:rPr>
              <w:t>Les Politiques nationales contiennent les modalités de suivi de ces politiques, le cas échéant par un organe multidisciplinaire indépendant.</w:t>
            </w:r>
          </w:p>
          <w:p>
            <w:pPr>
              <w:spacing w:before="60" w:after="60"/>
              <w:ind w:left="45"/>
              <w:jc w:val="left"/>
            </w:pPr>
            <w:r>
              <w:rPr>
                <w:rFonts w:ascii="Arial" w:hAnsi="Arial"/>
                <w:b w:val="false"/>
                <w:i w:val="false"/>
                <w:color w:val="333333"/>
                <w:sz w:val="18"/>
              </w:rPr>
              <w:t>Les Politiques nationales contiennent les hypothèses acceptées d'utilisation ultérieure des différents types de combustible usé sur proposition des détenteurs du combustible usé et après consultation de l'Organisme et de l'autorité de réglementation compétente.</w:t>
            </w:r>
          </w:p>
          <w:p>
            <w:pPr>
              <w:spacing w:before="60" w:after="60"/>
              <w:ind w:left="45"/>
              <w:jc w:val="left"/>
            </w:pPr>
            <w:r>
              <w:rPr>
                <w:rFonts w:ascii="Arial" w:hAnsi="Arial"/>
                <w:b w:val="false"/>
                <w:i w:val="false"/>
                <w:color w:val="333333"/>
                <w:sz w:val="18"/>
              </w:rPr>
              <w:t>Sur base de constatations au niveau de la sûreté, via le monitoring, après la fermeture du site, le Roi peut, par arrêté délibéré en Conseil des Ministres sur proposition du ministre qui a la sûreté et la sécurité nucléaire dans ses compétences, imposer la réouverture de l'installation de stockage et, le cas échéant, la récupération des déchets radioactifs ou du combustible usé.</w:t>
            </w:r>
          </w:p>
          <w:p>
            <w:pPr>
              <w:spacing w:before="60" w:after="60"/>
              <w:ind w:left="45"/>
              <w:jc w:val="left"/>
            </w:pPr>
            <w:r>
              <w:rPr>
                <w:rFonts w:ascii="Arial" w:hAnsi="Arial"/>
                <w:b w:val="false"/>
                <w:i w:val="false"/>
                <w:color w:val="333333"/>
                <w:sz w:val="18"/>
              </w:rPr>
              <w:t>Les opérations de réouverture de l'installation de stockage et, le cas échéant, de récupération des déchets radioactifs ou du combustible usé doivent faire l'objet d'une autorisation délivrée sur base de la loi du 15 avril 1994 relative à la protection de la population et de l'environnement contre les dangers résultant des rayonnements ionisants.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7 </w:t>
            </w:r>
          </w:p>
          <w:p>
            <w:pPr>
              <w:spacing w:before="60" w:after="60"/>
              <w:ind w:left="45"/>
              <w:jc w:val="left"/>
            </w:pPr>
            <w:r>
              <w:rPr>
                <w:rFonts w:ascii="Arial" w:hAnsi="Arial"/>
                <w:b w:val="false"/>
                <w:i w:val="false"/>
                <w:color w:val="333333"/>
                <w:sz w:val="18"/>
              </w:rPr>
              <w:t>Si des déchets radioactifs ou du combustible usé sont transférés, en vue d'un traitement ou d'un retraitement, vers un autre pays, la responsabilité en dernier ressort du stockage sûr et responsable de ces substances, y compris de tout déchet créé en tant que sous-produit, continue à incomber à l'Etat, en tant que pays à partir duquel les substances radioactives ont été transférées.</w:t>
            </w:r>
          </w:p>
          <w:p>
            <w:pPr>
              <w:spacing w:before="60" w:after="60"/>
              <w:ind w:left="45"/>
              <w:jc w:val="left"/>
            </w:pPr>
            <w:r>
              <w:rPr>
                <w:rFonts w:ascii="Arial" w:hAnsi="Arial"/>
                <w:b w:val="false"/>
                <w:i w:val="false"/>
                <w:color w:val="333333"/>
                <w:sz w:val="18"/>
              </w:rPr>
              <w:t>Les déchets radioactifs produits sur le territoire belge y sont stockés, à moins qu'au moment de leur transfert, un accord prenant en compte les critères établis par la Commission européenne conformément à l'article 16, paragraphe 2, de la Directive 2006/117/Euratom, telle que transposée dans l'arrêté royal du 24 mars 2009 portant règlement de l'importation, du transit et de l'exportation de substances radioactives, ne soit entré en vigueur entre l'État et un autre pays pour utiliser une installation de stockage dans ce pays.</w:t>
            </w:r>
          </w:p>
          <w:p>
            <w:pPr>
              <w:spacing w:before="0" w:after="0"/>
              <w:ind w:left="45"/>
              <w:jc w:val="left"/>
            </w:pPr>
            <w:r>
              <w:rPr>
                <w:rFonts w:ascii="Arial" w:hAnsi="Arial"/>
                <w:b w:val="false"/>
                <w:i w:val="false"/>
                <w:color w:val="333333"/>
                <w:sz w:val="18"/>
              </w:rPr>
              <w:t>Avant le transfert vers cet autre pays, l'Etat informe la Commission du contenu d'un tel accord et prend des mesures raisonnables pour s'assurer que: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 xml:space="preserve">le pays de destination a conclu un accord avec la Communauté Euratom portant sur la gestion du combustible usé et des déchets radioactifs ou est partie à la Convention commune sur la sûreté de la gestion du combustible usé et sur la sûreté de la gestion des déchets radioactifs (“Convention commune”); </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le pays de destination dispose de programmes de gestion et de stockage des déchets radioactifs dont les objectifs, d'un haut niveau de sûreté, sont équivalents à ceux fixés par la Directive 2011/70/Euratom telle que transposée dans la présente loi; </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l'installation de stockage du pays de destination est autorisée à recevoir les déchets radioactifs à transférer, est en activité avant le transfert et est gérée conformément aux exigences établies dans le cadre du programme de gestion et de stockage des déchets radioactifs de ce pays de destination.</w:t>
            </w:r>
          </w:p>
          <w:p>
            <w:pPr>
              <w:spacing w:before="0" w:after="0"/>
              <w:ind w:left="45"/>
              <w:jc w:val="left"/>
            </w:pPr>
            <w:r>
              <w:rPr>
                <w:rFonts w:ascii="Arial" w:hAnsi="Arial"/>
                <w:b w:val="false"/>
                <w:i w:val="false"/>
                <w:color w:val="333333"/>
                <w:sz w:val="18"/>
              </w:rPr>
              <w:t>La disposition de l'alinéa précédent ne s'applique pas: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au rapatriement chez un fournisseur ou un fabricant des sources scellées retirées du service;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au transfert du combustible usé issu des réacteurs de recherche vers un pays où les combustibles de réacteurs de recherche sont fournis ou fabriqués, en tenant compte des accords internationaux applicables.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8 </w:t>
            </w:r>
          </w:p>
          <w:p>
            <w:pPr>
              <w:spacing w:before="60" w:after="60"/>
              <w:ind w:left="45"/>
              <w:jc w:val="left"/>
            </w:pPr>
            <w:r>
              <w:rPr>
                <w:rFonts w:ascii="Arial" w:hAnsi="Arial"/>
                <w:b w:val="false"/>
                <w:i w:val="false"/>
                <w:color w:val="333333"/>
                <w:sz w:val="18"/>
              </w:rPr>
              <w:t>Il est créé un Comité du Programme national chargé d'établir le Programme national de gestion du combustible usé et des déchets radioactifs. Ce Comité se compose de représentants du Service public fédéral en charge de l'Energie, de l'Organisme et de la société visée au premier paragraphe du présent article, chacun intervenant dans le cadre de ses compétences et missions. Le Comité est présidé par un représentant du Service public fédéral en charge de l'Energie. Le secrétariat du Comité est assuré par l'Organisme. Le Comité peut se faire assister par des experts et consulter les différents producteurs de déchets radioactifs et de combustible usé.</w:t>
            </w:r>
          </w:p>
          <w:p>
            <w:pPr>
              <w:spacing w:before="60" w:after="60"/>
              <w:ind w:left="45"/>
              <w:jc w:val="left"/>
            </w:pPr>
            <w:r>
              <w:rPr>
                <w:rFonts w:ascii="Arial" w:hAnsi="Arial"/>
                <w:b w:val="false"/>
                <w:i w:val="false"/>
                <w:color w:val="333333"/>
                <w:sz w:val="18"/>
              </w:rPr>
              <w:t>Pour la gestion des déchets radioactifs et du combustible usé, les ministres ayant l'Energie et l'Economie dans leurs attributions fixent, par arrêté ministériel délibéré en Conseil des Ministres, sur proposition du Comité du Programme national, et après consultation de l'autorité de réglementation compétente, un Programme national de gestion du combustible usé et des déchets radioactifs. Ce Programme dresse, notamment, le bilan des modes de gestion existants du combustible usé et des déchets radioactifs, recense les besoins à prévoir d'installations d'entreposage ou de stockage, précise les capacités nécessaires pour ces installations et les durées d'entreposage et, pour les déchets radioactifs qui ne font pas encore l'objet d'un mode de gestion définitif, détermine les objectifs à atteindre. Le Programme national structure la mise en œuvre des recherches et études sur la gestion du combustible usé et des déchets radioactifs en fixant des échéances pour la mise en œuvre de nouveaux modes de gestion, la création d'installations ou la modification des installations existantes de nature à répondre aux besoins et aux objectifs définis ci-dessus.</w:t>
            </w:r>
          </w:p>
          <w:p>
            <w:pPr>
              <w:spacing w:before="60" w:after="60"/>
              <w:ind w:left="45"/>
              <w:jc w:val="left"/>
            </w:pPr>
            <w:r>
              <w:rPr>
                <w:rFonts w:ascii="Arial" w:hAnsi="Arial"/>
                <w:b w:val="false"/>
                <w:i w:val="false"/>
                <w:color w:val="333333"/>
                <w:sz w:val="18"/>
              </w:rPr>
              <w:t>Le Programme national est mis à jour à intervalles réguliers, et chaque fois qu'une Politique nationale est prise ou modifiée.</w:t>
            </w:r>
          </w:p>
          <w:p>
            <w:pPr>
              <w:spacing w:before="60" w:after="60"/>
              <w:ind w:left="45"/>
              <w:jc w:val="left"/>
            </w:pPr>
            <w:r>
              <w:rPr>
                <w:rFonts w:ascii="Arial" w:hAnsi="Arial"/>
                <w:b w:val="false"/>
                <w:i w:val="false"/>
                <w:color w:val="333333"/>
                <w:sz w:val="18"/>
              </w:rPr>
              <w:t>La cohérence du Programme national de gestion du combustible usé et des déchets radioactifs doit être recherchée, de même que son optimisation technique et économique.</w:t>
            </w:r>
          </w:p>
          <w:p>
            <w:pPr>
              <w:spacing w:before="0" w:after="0"/>
              <w:ind w:left="45"/>
              <w:jc w:val="left"/>
            </w:pPr>
            <w:r>
              <w:rPr>
                <w:rFonts w:ascii="Arial" w:hAnsi="Arial"/>
                <w:b w:val="false"/>
                <w:i w:val="false"/>
                <w:color w:val="333333"/>
                <w:sz w:val="18"/>
              </w:rPr>
              <w:t>Le Programme national inclut ce qui suit: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objectifs généraux que cherchent à atteindre les Politiques Nationales visées au paragraphe 6 du présent article en matière de gestion du combustible usé et des déchets radioactifs;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échéances importantes et des calendriers clairs qui permettront de respecter ces échéances en tenant compte des objectifs premiers que cherche à atteindre le Programme national;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un inventaire de tous les combustibles usés et déchets radioactifs et les estimations relatives aux quantités futures, y compris celles résultant d'opérations de démantèlement. Cet inventaire indique clairement la localisation et la quantité de déchets radioactifs et de combustible usé, conformément à la classification appropriée des déchets radioactifs et des combustibles usés;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les concepts, ou les plans et solutions techniques en matière de gestion du combustible usé et des déchets radioactifs, depuis la production jusqu'au stockage;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les concepts ou les plans pour la période postérieure à la fermeture d'une installation de stockage, y compris pour la période pendant laquelle des mesures de contrôle appropriées sont maintenues, ainsi que les moyens à utiliser pour préserver la mémoire de l'installation à long terme;</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les activités de recherche, de développement et de démonstration nécessaires pour mettre en œuvre des solutions de gestion du combustible usé et des déchets radioactifs;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les responsabilités en ce qui concerne la mise en œuvre du Programme national et les indicateurs de performance clés pour surveiller l'avancement de la mise en œuvre;</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une estimation des coûts du Programme national et la base et les hypothèses utilisées pour formuler cette estimation, qui doit être assortie d'un calendrier;</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le ou les mécanismes de financement en vigueur;</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la politique ou la procédure en matière de transparence;</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 xml:space="preserve">le cas échéant, le ou les accords conclus avec un autre pays en matière de gestion du combustible usé ou des déchets radioactifs, y compris pour ce qui est de l'utilisation des installations de stockage; </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l'identification des exigences complémentaires découlant de l'interdépendance entre les différentes étapes de gestion pour chaque type de déchets radioactifs et de combustible usé depuis leur production jusqu'à leur stockage afin d'en assurer l'articulation et la cohérence d'ensemble;</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les informations relatives à toute modification prévue ou envisagée des installations et/ou des pratiques susceptibles d'avoir un impact sur la gestion des déchets radioactifs et du combustible usé;</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les informations relatives aux situations historiques et aux activités professionnelles passées ou en cours qui ont généré ou qui génèrent des substances susceptibles d'être qualifiées comme déchets radioactifs ainsi que les principes de base des modes de gestion envisagés pour ces déchets radioactifs, dans l'hypothèse où leur gestion ne peut être assurée par des modes de gestion existants.</w:t>
            </w:r>
          </w:p>
          <w:p>
            <w:pPr>
              <w:spacing w:before="60" w:after="60"/>
              <w:ind w:left="45"/>
              <w:jc w:val="left"/>
            </w:pPr>
            <w:r>
              <w:rPr>
                <w:rFonts w:ascii="Arial" w:hAnsi="Arial"/>
                <w:b w:val="false"/>
                <w:i w:val="false"/>
                <w:color w:val="333333"/>
                <w:sz w:val="18"/>
              </w:rPr>
              <w:t>Le Comité du Programme national peut requérir auprès des exploitants d'installations nucléaires et des détenteurs de substances radioactives, ou à défaut de leurs propriétaires, sous leur responsabilité, sur simple demande et sans frais, toute information utile à l'établissement du Programme national et en particulier les informations relatives à la gestion du combustible usé ou des déchets radioactifs avant transfert à l'Organisme.</w:t>
            </w:r>
          </w:p>
          <w:p>
            <w:pPr>
              <w:spacing w:before="60" w:after="60"/>
              <w:ind w:left="45"/>
              <w:jc w:val="left"/>
            </w:pPr>
            <w:r>
              <w:rPr>
                <w:rFonts w:ascii="Arial" w:hAnsi="Arial"/>
                <w:b w:val="false"/>
                <w:i w:val="false"/>
                <w:color w:val="333333"/>
                <w:sz w:val="18"/>
              </w:rPr>
              <w:t>Le Programme national est notifié au plus tard le 23 août 2015 à la Commission européenne à l'initiative des ministres ayant l'Economie et l'Energie dans leurs attributions. Ses modifications substantielles ultérieures sont notifiées à la Commission dans le mois après leur adoption. En cas de demande d'informations ou d'éclaircissements de la Commission, celles-ci ainsi que les révisions subséquentes sont fournies dans un délai de six mois à dater de la réception de cette demande.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9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plus tard et pour la première fois le 23 août 2015, et ensuite tous les trois ans, un rapport sur la mise en œuvre de la Directive 2011/70/Euratom mettant à profit les évaluations et les rapports rédigés au titre de la Convention commune est notifié à la Commission européenne par les ministres ayant l'Economie et l'Energie dans leurs attributions. L'Organisme coordonne les activités d'établissement et de notification du rapport à la Commission.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Il est organisé périodiquement, et tous les dix ans au moins, à l'initiative des ministres compétents, des autoévaluations du Cadre national, de l'autorité de réglementation compétente, ainsi que du Programme national et de sa mise en œuvre.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Il est organisé périodiquement, et tous les dix ans au moins, à l'initiative des ministres compétents, une évaluation internationale par des pairs du Cadre national, de l'autorité de réglementation compétente et/ou du Programme national en vue de garantir que la gestion sûre du combustible usé et des déchets radioactifs répond à des normes de sûreté d'un niveau élevé.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résultats de l'évaluation par les pairs sont communiqués à la Commission et aux autres États membres et mis à disposition du public, pour autant que cela ne soit pas incompatible avec la sécurité et la confidentialité des informations.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10 </w:t>
            </w:r>
          </w:p>
          <w:p>
            <w:pPr>
              <w:spacing w:before="60" w:after="60"/>
              <w:ind w:left="45"/>
              <w:jc w:val="left"/>
            </w:pPr>
            <w:r>
              <w:rPr>
                <w:rFonts w:ascii="Arial" w:hAnsi="Arial"/>
                <w:b w:val="false"/>
                <w:i w:val="false"/>
                <w:color w:val="333333"/>
                <w:sz w:val="18"/>
              </w:rPr>
              <w:t>Toute personne physique ou morale titulaire d'une autorisation ou tenue à certaines obligations en vertu du présent article doit prendre, pour son personnel, des dispositions en matière de formation et entreprendre des activités de recherche et de développement pour couvrir les besoins du Programme national pour la gestion du combustible usé et des déchets radioactifs, en vue d'acquérir, de maintenir et de développer davantage les compétences et qualifications nécessaires. Le Roi fixe les modalités d'exécution du présent paragraphe.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11 </w:t>
            </w:r>
          </w:p>
          <w:p>
            <w:pPr>
              <w:spacing w:before="60" w:after="60"/>
              <w:ind w:left="45"/>
              <w:jc w:val="left"/>
            </w:pPr>
            <w:r>
              <w:rPr>
                <w:rFonts w:ascii="Arial" w:hAnsi="Arial"/>
                <w:b w:val="false"/>
                <w:i w:val="false"/>
                <w:color w:val="333333"/>
                <w:sz w:val="18"/>
              </w:rPr>
              <w:t>L'acceptation telle que prévue au § 5, 7°, n'est pas requise pour les combustibles usés et les substances radioactives dont l'utilisation prévue ou envisagée n'a pas encore fait l'objet d'une Politique nationale. Le présent article ne porte pas préjudice aux dispositions légales et réglementaires auxquelles le § 5, 7°, renvoie.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179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Staat mag deelnemen in het kapitaal van een gemengde vennootschap die tot doel heeft activiteiten in verband met de nucleaire brandstofcyclus [, alsook de voorzieningen aangelegd voor de ontmanteling van de kerncentrales en voor het beheer van splijtstoffen bestraald in deze kerncentrales,] te beheren, met uitzondering van de activiteiten hierna voorzien in § 2.</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totale kosten verbonden aan de activiteiten van de vennootschap, hierin begrepen de kosten van het toegepast wetenschappelijk onderzoek, zullen ten laste vallen van de vennootschappen en organismen voor wie de verrichtingen zullen gebeurd zijn.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een openbare instelling opgericht, Nationale Instelling voor Radioactief Afval en Verrijkte Splijtstoffen (NIRAS) genoemd. Deze Instelling krijgt de rechtspersoonlijkheid. De Koning bepaalt bij een in Ministerraad overlegd besluit de vestigingsplaats van de Instelling, de werkingsbeginselen ervan, de samenstelling van haar beraadslagende en uitvoerende organen, de benoemingswijze van de personen die erin zetelen, de vertegenwoordiging ervan in rechte evenals de organisatie van het administratief toezicht erop. [Voor de toepassing van de federale belastingwetten wordt het NIRAS met de Staat gelijkgesteld.]</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Met het doel de bescherming van de werknemers, de bevolking en het leefmilieu te waarborgen en te verzekeren en onverminderd de juridische en financiële verantwoordelijkheid van de afvalproducenten, wordt de Instelling belast met het beheer van al het radioactief afval, van welke oorsprong of herkomst het ook zij [, het opstellen van een inventaris van alle nucleaire installaties en alle terreinen die radioactieve stoffen bevatten, zoals gedefinieerd in artikel 1 van de wet van 15 april 1994 betreffende de bescherming van de bevolking en van het leefmilieu tegen de uit ioniserende stralingen voortspruitende gevaren en betreffende het Federaal Agentschap voor nucleaire controle,] evenals met bepaalde opdrachten op het gebied van het beheer van verrijkte splijtstoffen, plutoniumhoudende stoffen, bestraalde splijtstoffen, en van de denuclearisatie van de buiten dienst gestelde installaties. [De voorzitter, de ondervoorzitters en de leden van de raad van bestuur, opgericht door het koninklijk besluit van 30 maart 1981 houdende bepaling van de opdrachten en de werkingsmodaliteiten van de openbare instelling voor het beheer van radioactief afval en splijtstoffen, vertegenwoordigen het Rijk of een Gewest.]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Instelling zal slechts afval van buitenlandse oorsprong mogen beheren na instemming te hebben bekomen van haar voogdijoverheid.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opdrachten betreffende het radioactief afval omvatten het vervoer buiten de installaties, de verwerking en de conditionering voor de producenten die niet over daartoe door de Instelling erkende uitrustingen beschikken, de opslag buiten de installaties en de berging, evenals de verzameling en de evaluatie van elke informatie die nodig is voor de uitvoering van de bovengenoemde opdrachten.</w:t>
            </w:r>
          </w:p>
          <w:p>
            <w:pPr>
              <w:spacing w:before="0" w:after="0"/>
              <w:ind w:left="390"/>
              <w:jc w:val="left"/>
            </w:pPr>
            <w:r>
              <w:rPr>
                <w:rFonts w:ascii="Arial" w:hAnsi="Arial"/>
                <w:b w:val="false"/>
                <w:i w:val="false"/>
                <w:color w:val="333333"/>
                <w:sz w:val="18"/>
              </w:rPr>
              <w:t>[Op voorstel van de Instelling stelt de Koning de algemene regels vast voor het opstellen van de in het vierde lid bedoelde criteria. Het voorstel van de Instelling wordt voorafgaandelijk voor advies voorgelegd aan het Federaal Agentschap voor Nucleaire Controle overeenkomstig artikel 15quater van de wet van 15 april 1994 betreffende de bescherming van de bevolking en van het leefmilieu tegen de uit ioniserende stralingen voortspruitende gevaren en betreffende het Federaal Agentschap voor Nucleaire Controle en wordt overeenkomstig aangepast door de Instelling, die daarbij gebonden is door het advies.</w:t>
            </w:r>
          </w:p>
          <w:p>
            <w:pPr>
              <w:spacing w:before="0" w:after="0"/>
              <w:ind w:left="390"/>
              <w:jc w:val="left"/>
            </w:pPr>
            <w:r>
              <w:rPr>
                <w:rFonts w:ascii="Arial" w:hAnsi="Arial"/>
                <w:b w:val="false"/>
                <w:i w:val="false"/>
                <w:color w:val="333333"/>
                <w:sz w:val="18"/>
              </w:rPr>
              <w:t>Indien de Koning beslist om van het voorstel bedoeld in het tweede lid af te wijken, dan vermeldt hij uitdrukkelijk de redenen daarvan in zijn beslissing, die in dat geval wordt vastgesteld na overleg in Ministerraad.</w:t>
            </w:r>
          </w:p>
          <w:p>
            <w:pPr>
              <w:spacing w:before="0" w:after="0"/>
              <w:ind w:left="390"/>
              <w:jc w:val="left"/>
            </w:pPr>
            <w:r>
              <w:rPr>
                <w:rFonts w:ascii="Arial" w:hAnsi="Arial"/>
                <w:b w:val="false"/>
                <w:i w:val="false"/>
                <w:color w:val="333333"/>
                <w:sz w:val="18"/>
              </w:rPr>
              <w:t>Op basis van de algemene regels die worden vastgesteld door de Koning en na raadpleging van de afvalproducenten in een door de Koning bepaald raadgevend comité, stelt de Instelling de criteria op waaraan het geconditioneerde en niet– geconditioneerde radioactieve afval moet beantwoorden om overgedragen te kunnen worden aan de Instelling met het oog op het veilige beheer ervan tijdens een deel of het geheel van de verschillende beheerstappen tot en met hun berging. Deze criteria hebben een hoofdzakelijk technisch en niet-beleidsmatig karakter en worden acceptatiecriteria van het geconditioneerde en niet-geconditioneerde radioactieve afval genoemd. De Koning duidt het bestuursorgaan binnen de Instelling aan dat belast is met de goedkeuring van de acceptatiecriteria. De acceptatiecriteria worden gepubliceerd op de website van de Instelling.</w:t>
            </w:r>
          </w:p>
          <w:p>
            <w:pPr>
              <w:spacing w:before="0" w:after="0"/>
              <w:ind w:left="390"/>
              <w:jc w:val="left"/>
            </w:pPr>
            <w:r>
              <w:rPr>
                <w:rFonts w:ascii="Arial" w:hAnsi="Arial"/>
                <w:b w:val="false"/>
                <w:i w:val="false"/>
                <w:color w:val="333333"/>
                <w:sz w:val="18"/>
              </w:rPr>
              <w:t>De acceptatiecriteria zijn te allen tijde afgestemd op de vergunningen die worden toegekend door de bevoegde overheden overeenkomstig voornoemde wet van 15 april 1994, voor de installaties die noodzakelijk zijn voor de verschillende beheerstappen voor elk type van radioactief afval vanaf hun productie tot hun berging. De algemene regels bepalen de wijze waarop de afstemming verzekerd wordt. Deze acceptatiecriteria zijn evolutief en kunnen periodiek door de Instelling worden herzien.</w:t>
            </w:r>
          </w:p>
          <w:p>
            <w:pPr>
              <w:spacing w:before="0" w:after="0"/>
              <w:ind w:left="390"/>
              <w:jc w:val="left"/>
            </w:pPr>
            <w:r>
              <w:rPr>
                <w:rFonts w:ascii="Arial" w:hAnsi="Arial"/>
                <w:b w:val="false"/>
                <w:i w:val="false"/>
                <w:color w:val="333333"/>
                <w:sz w:val="18"/>
              </w:rPr>
              <w:t>De Koning verduidelijkt de nadere regels van het acceptatiesysteem van geconditioneerd en niet-geconditioneerd radioactief afval, op voorstel van de Instelling.</w:t>
            </w:r>
          </w:p>
          <w:p>
            <w:pPr>
              <w:spacing w:before="0" w:after="0"/>
              <w:ind w:left="390"/>
              <w:jc w:val="left"/>
            </w:pPr>
            <w:r>
              <w:rPr>
                <w:rFonts w:ascii="Arial" w:hAnsi="Arial"/>
                <w:b w:val="false"/>
                <w:i w:val="false"/>
                <w:color w:val="333333"/>
                <w:sz w:val="18"/>
              </w:rPr>
              <w:t>Om het radioactieve afval in voorkomend geval in overeenstemming te brengen met de criteria die overeenkomstig het vierde lid door de Instelling worden opgesteld voor de verschillende beheerstappen, worden, met het oog op het verantwoorde en veilige beheer ervan, de nodige maatregelen genomen door de producenten of door de Instelling, naar gelang dit afval al dan niet aan de Instelling werd overgedragen. De kosten die voortvloeien uit deze maatregelen worden gedragen door de begunstigden van de diensten van de Instelling of door de rechtspersonen of natuurlijke personen die in hun rechten en plichten treden.</w:t>
            </w:r>
          </w:p>
          <w:p>
            <w:pPr>
              <w:spacing w:before="0" w:after="0"/>
              <w:ind w:left="390"/>
              <w:jc w:val="left"/>
            </w:pPr>
            <w:r>
              <w:rPr>
                <w:rFonts w:ascii="Arial" w:hAnsi="Arial"/>
                <w:b w:val="false"/>
                <w:i w:val="false"/>
                <w:color w:val="333333"/>
                <w:sz w:val="18"/>
              </w:rPr>
              <w:t>De bepalingen van de overeenkomsten afgesloten tussen de producenten en de Instelling, die door de algemene regels en de acceptatiecriteria zoals bedoeld in het tweede tot vierde lid beïnvloed worden, worden hiermee van rechtswege in overeenstemming gebracht.]</w:t>
            </w:r>
          </w:p>
          <w:p>
            <w:pPr>
              <w:spacing w:before="0" w:after="0"/>
              <w:ind w:left="390"/>
              <w:jc w:val="left"/>
            </w:pPr>
            <w:r>
              <w:rPr>
                <w:rFonts w:ascii="Arial" w:hAnsi="Arial"/>
                <w:b w:val="false"/>
                <w:i w:val="false"/>
                <w:color w:val="333333"/>
                <w:sz w:val="18"/>
              </w:rPr>
              <w:t>[De instelling wordt bovendien gemachtigd om elke handeling te stellen en elke maatregel te treffen die erop gericht is het maatschappelijk draagvlak dat vereist is voor de integratie van een bergingsinstallatie voor radioactief afval in een lokale collectiviteit, te creëren en in stand te houden.]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[Deze wet is van toepassing onverminderd de specifieke bevoegdheden van de veiligheidsautoriteiten voor wat betreft de bescherming van de bevolking en het leefmilieu tegen de gevaren voortspruitend uit ioniserende stralingen, in het bijzonder het Federaal Agentschap voor nucleaire controle en zijn voogdijminister.]</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opdracht met betrekking tot de inventaris omvat het opstellen van een repertorium van de lokalisatie en de staat van alle nucleaire installaties en alle plaatsen die radioactieve stoffen bevatten, de raming van de kost van hun ontmanteling en sanering, de evaluatie van het bestaan en de toereikendheid van provisies voor de financiering van deze operaties, toekomstig of lopend, en de vijfjaarlijkse bijwerking van deze inventaris.</w:t>
            </w:r>
          </w:p>
          <w:p>
            <w:pPr>
              <w:spacing w:before="0" w:after="0"/>
              <w:ind w:left="390"/>
              <w:jc w:val="left"/>
            </w:pPr>
            <w:r>
              <w:rPr>
                <w:rFonts w:ascii="Arial" w:hAnsi="Arial"/>
                <w:b w:val="false"/>
                <w:i w:val="false"/>
                <w:color w:val="333333"/>
                <w:sz w:val="18"/>
              </w:rPr>
              <w:t>De uitbaters van de nucleaire installaties en de houders van radioactieve stoffen, of, bij ontstentenis, hun eigenaars, zijn gehouden aan de Instelling, onder hun verantwoordelijkheid en op eenvoudige vraag, de gegevens te bezorgen om haar toe te laten de inventaris op te maken op basis van een door haar uitgewerkte procedure die de vorm en de inhoud van deze gegevens definieert.</w:t>
            </w:r>
          </w:p>
          <w:p>
            <w:pPr>
              <w:spacing w:before="0" w:after="0"/>
              <w:ind w:left="390"/>
              <w:jc w:val="left"/>
            </w:pPr>
            <w:r>
              <w:rPr>
                <w:rFonts w:ascii="Arial" w:hAnsi="Arial"/>
                <w:b w:val="false"/>
                <w:i w:val="false"/>
                <w:color w:val="333333"/>
                <w:sz w:val="18"/>
              </w:rPr>
              <w:t>De Instelling kan elke uitbater van nucleaire installaties en elke houder van radioactieve stoffen, of, bij ontstentenis, hun eigenaars, verplichten om, binnen een gegeven termijn, alle noodzakelijke gegevens voor de opmaak van de inventaris te bezorgen. Haar afgevaardigden of opdrachthouders zullen, op werkdagen van acht tot zeventien uur, beschikken over het recht tot toegang tot deze installaties en terreinen, alsook tot elk technisch of boekhoudkundig document dat nodig is voor de opmaak en de bijwerking van de inventaris.</w:t>
            </w:r>
          </w:p>
          <w:p>
            <w:pPr>
              <w:spacing w:before="0" w:after="0"/>
              <w:ind w:left="390"/>
              <w:jc w:val="left"/>
            </w:pPr>
            <w:r>
              <w:rPr>
                <w:rFonts w:ascii="Arial" w:hAnsi="Arial"/>
                <w:b w:val="false"/>
                <w:i w:val="false"/>
                <w:color w:val="333333"/>
                <w:sz w:val="18"/>
              </w:rPr>
              <w:t>Zij die de gevraagde gegevens niet of laattijdig bezorgen, zij die onvolledige of onjuiste gegevens bezorgen, zij die de toegang tot hun installaties en terreinen of tot elk technisch en boekhoudkundig document, nodig voor de opmaak of de bijwerking van de inventaris, weigeren, en, in het algemeen, zij die hun medewerking weigeren of de uitvoering van de opdrachten van de Instelling verhinderen, worden bestraft met een geldboete van 1.000 tot 10.000 [euro].</w:t>
            </w:r>
          </w:p>
          <w:p>
            <w:pPr>
              <w:spacing w:before="0" w:after="0"/>
              <w:ind w:left="390"/>
              <w:jc w:val="left"/>
            </w:pPr>
            <w:r>
              <w:rPr>
                <w:rFonts w:ascii="Arial" w:hAnsi="Arial"/>
                <w:b w:val="false"/>
                <w:i w:val="false"/>
                <w:color w:val="333333"/>
                <w:sz w:val="18"/>
              </w:rPr>
              <w:t>De Instelling maakt deze inventaris over aan haar voogdijminister die, in voorkomend geval, elke uitbater van nucleaire installaties of houder van radioactieve stoffen, of, bij ontstentenis, hun eigenaars, verplicht corrigerende maatregelen te nemen.</w:t>
            </w:r>
          </w:p>
          <w:p>
            <w:pPr>
              <w:spacing w:before="0" w:after="0"/>
              <w:ind w:left="390"/>
              <w:jc w:val="left"/>
            </w:pPr>
            <w:r>
              <w:rPr>
                <w:rFonts w:ascii="Arial" w:hAnsi="Arial"/>
                <w:b w:val="false"/>
                <w:i w:val="false"/>
                <w:color w:val="333333"/>
                <w:sz w:val="18"/>
              </w:rPr>
              <w:t>Zij die zich niet schikken naar de uitdrukkelijke bevelen van de minister worden bestraft met een geldboete van 1.000 tot 1.000.000 [euro].]</w:t>
            </w:r>
          </w:p>
          <w:p>
            <w:pPr>
              <w:spacing w:before="0" w:after="0"/>
              <w:ind w:left="90"/>
              <w:jc w:val="left"/>
            </w:pPr>
            <w:r>
              <w:rPr>
                <w:rFonts w:ascii="Arial" w:hAnsi="Arial"/>
                <w:b w:val="false"/>
                <w:i w:val="false"/>
                <w:color w:val="333333"/>
                <w:sz w:val="18"/>
              </w:rPr>
              <w:t>6°/1</w:t>
            </w:r>
          </w:p>
          <w:p>
            <w:pPr>
              <w:spacing w:before="0" w:after="0"/>
              <w:ind w:left="390"/>
              <w:jc w:val="left"/>
            </w:pPr>
            <w:r>
              <w:rPr>
                <w:rFonts w:ascii="Arial" w:hAnsi="Arial"/>
                <w:b w:val="false"/>
                <w:i w:val="false"/>
                <w:color w:val="333333"/>
                <w:sz w:val="18"/>
              </w:rPr>
              <w:t>[De Instelling formuleert in de inventaris, ter attentie van de ministers die bevoegd zijn voor Economie en Energie, aanbevelingen die onder meer betrekking hebben op de ontwikkeling van het wettelijk en regelgevend kader inzake de organisatie van de dekking van de nucleaire kosten.</w:t>
            </w:r>
          </w:p>
          <w:p>
            <w:pPr>
              <w:spacing w:before="0" w:after="0"/>
              <w:ind w:left="390"/>
              <w:jc w:val="left"/>
            </w:pPr>
            <w:r>
              <w:rPr>
                <w:rFonts w:ascii="Arial" w:hAnsi="Arial"/>
                <w:b w:val="false"/>
                <w:i w:val="false"/>
                <w:color w:val="333333"/>
                <w:sz w:val="18"/>
              </w:rPr>
              <w:t>Op basis van de door de Instelling toegezonden inventaris, belasten de ministers die bevoegd zijn voor Economie en Energie, in voorkomend geval, de Instelling om ter attentie van de bevoegde ministers voorstellen uit te werken met het oog op de uitvoering van de in de inventaris vervatte aanbevelingen.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Koning bepaalt de voorwaarden waaronder de Instelling de in het vorige lid bedoelde uitrustingen bestemd voor verwerking en conditionering kan erkennen evenals de voorwaarden van verhaal.</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 opdrachten betreffende verrijkte splijtstoffen, plutoniumhoudende stoffen en bestraalde splijtstoffen omvatten het vervoer buiten de installaties, van de verrijkte en plutoniumhoudende splijtstoffen in een hoeveelheid die en met een verrijkingspercentage dat de door de Koning bepaalde grenzen overschrijdt, de opslag buiten de installaties, van de ten opzichte van de operationele behoeften van de installatie overtollige plutoniumhoudende stoffen, de opslag buiten de installaties, van bestraalde splijtstof of nieuwe splijtstof waarvoor geen enkel gebruik is voorzien, evenals de verzameling en de evaluatie van elke informatie die nodig is voor de uitvoering van de bovengenoemde opdrachten.</w:t>
            </w:r>
          </w:p>
          <w:p>
            <w:pPr>
              <w:spacing w:before="0" w:after="0"/>
              <w:ind w:left="390"/>
              <w:jc w:val="left"/>
            </w:pPr>
            <w:r>
              <w:rPr>
                <w:rFonts w:ascii="Arial" w:hAnsi="Arial"/>
                <w:b w:val="false"/>
                <w:i w:val="false"/>
                <w:color w:val="333333"/>
                <w:sz w:val="18"/>
              </w:rPr>
              <w:t>[Op voorstel van de Instelling stelt de Koning de algemene regels vast voor het opstellen van de in het vierde lid bedoelde criteria. Het voorstel van de Instelling wordt voorafgaandelijk voor advies voorgelegd aan het Federaal Agentschap voor Nucleaire Controle overeenkomstig artikel 15quater van de wet van 15 april 1994 betreffende de bescherming van de bevolking en van het leefmilieu tegen de uit ioniserende stralingen voortspruitende gevaren en betreffende het Federaal Agentschap voor Nucleaire Controle, en wordt overeenkomstig aangepast door de Instelling, die daarbij gebonden is door het advies. Het aangepaste voorstel wordt samen met het advies van het Federaal Agentschap voor Nucleaire Controle voorgelegd aan de Koning.</w:t>
            </w:r>
          </w:p>
          <w:p>
            <w:pPr>
              <w:spacing w:before="0" w:after="0"/>
              <w:ind w:left="390"/>
              <w:jc w:val="left"/>
            </w:pPr>
            <w:r>
              <w:rPr>
                <w:rFonts w:ascii="Arial" w:hAnsi="Arial"/>
                <w:b w:val="false"/>
                <w:i w:val="false"/>
                <w:color w:val="333333"/>
                <w:sz w:val="18"/>
              </w:rPr>
              <w:t>Indien de Koning beslist om van het aangepaste voorstel bedoeld in het tweede lid af te wijken, dan vermeldt hij uitdrukkelijk de redenen daarvan in zijn beslissing, die in dat geval wordt vastgesteld na overleg in Ministerraad.</w:t>
            </w:r>
          </w:p>
          <w:p>
            <w:pPr>
              <w:spacing w:before="0" w:after="0"/>
              <w:ind w:left="390"/>
              <w:jc w:val="left"/>
            </w:pPr>
            <w:r>
              <w:rPr>
                <w:rFonts w:ascii="Arial" w:hAnsi="Arial"/>
                <w:b w:val="false"/>
                <w:i w:val="false"/>
                <w:color w:val="333333"/>
                <w:sz w:val="18"/>
              </w:rPr>
              <w:t>Op basis van de algemene regels die worden vastgesteld door de Koning, stelt de Instelling, na raadpleging van de afvalproducenten in een door de Koning bepaald raadgevend comité, de criteria op waaraan de overtollige hoeveelheden moeten beantwoorden om overgedragen te kunnen worden aan de Instelling met het oog op het veilige beheer ervan totdat zij als afval worden beschouwd en dit voor een deel of het geheel van de beheerstappen tot en met hun opslag. Deze criteria hebben een hoofdzakelijk technisch en niet-beleidsmatig karakter en worden acceptatiecriteria van de overtollige hoeveelheden genoemd. De Koning duidt een bestuursorgaan van de Instelling aan dat belast is met de goedkeuring van de acceptatiecriteria. De acceptatiecriteria worden gepubliceerd op de website van de Instelling.</w:t>
            </w:r>
          </w:p>
          <w:p>
            <w:pPr>
              <w:spacing w:before="0" w:after="0"/>
              <w:ind w:left="390"/>
              <w:jc w:val="left"/>
            </w:pPr>
            <w:r>
              <w:rPr>
                <w:rFonts w:ascii="Arial" w:hAnsi="Arial"/>
                <w:b w:val="false"/>
                <w:i w:val="false"/>
                <w:color w:val="333333"/>
                <w:sz w:val="18"/>
              </w:rPr>
              <w:t>De acceptatiecriteria zijn te allen tijde afgestemd op de vergunningen, die worden toegekend door de bevoegde overheden overeenkomstig voornoemde wet van 15 april 1994, voor de installaties die noodzakelijk zijn voor de verschillende beheerstappen vanaf de productie tot en met de opslag. De algemene regels bepalen de wijze waarop de afstemming verzekerd wordt. Deze acceptatiecriteria zijn evolutief en kunnen periodiek door de Instelling worden herzien.</w:t>
            </w:r>
          </w:p>
          <w:p>
            <w:pPr>
              <w:spacing w:before="0" w:after="0"/>
              <w:ind w:left="390"/>
              <w:jc w:val="left"/>
            </w:pPr>
            <w:r>
              <w:rPr>
                <w:rFonts w:ascii="Arial" w:hAnsi="Arial"/>
                <w:b w:val="false"/>
                <w:i w:val="false"/>
                <w:color w:val="333333"/>
                <w:sz w:val="18"/>
              </w:rPr>
              <w:t>De Koning verduidelijkt de nadere regels van het acceptatiesysteem van de overtollige hoeveelheden, op voorstel van de Instelling.</w:t>
            </w:r>
          </w:p>
          <w:p>
            <w:pPr>
              <w:spacing w:before="0" w:after="0"/>
              <w:ind w:left="390"/>
              <w:jc w:val="left"/>
            </w:pPr>
            <w:r>
              <w:rPr>
                <w:rFonts w:ascii="Arial" w:hAnsi="Arial"/>
                <w:b w:val="false"/>
                <w:i w:val="false"/>
                <w:color w:val="333333"/>
                <w:sz w:val="18"/>
              </w:rPr>
              <w:t>Om de overtollige hoeveelheden in voorkomend geval in overeenstemming te brengen met de criteria die overeenkomstig het vierde lid door de Instelling worden opgesteld voor de verschillende beheerstappen, worden, met het oog op het verantwoorde en veilige beheer ervan, de nodige maatregelen genomen door de producenten of de Instelling, naar gelang deze overtollige hoeveelheden al dan niet aan de Instelling werden overgedragen. De kosten die voortvloeien uit deze maatregelen worden gedragen door de begunstigden van de diensten van de Instelling of door de rechtspersonen of natuurlijke personen die in hun rechten en plichten treden.</w:t>
            </w:r>
          </w:p>
          <w:p>
            <w:pPr>
              <w:spacing w:before="0" w:after="0"/>
              <w:ind w:left="390"/>
              <w:jc w:val="left"/>
            </w:pPr>
            <w:r>
              <w:rPr>
                <w:rFonts w:ascii="Arial" w:hAnsi="Arial"/>
                <w:b w:val="false"/>
                <w:i w:val="false"/>
                <w:color w:val="333333"/>
                <w:sz w:val="18"/>
              </w:rPr>
              <w:t>De bepalingen van de overeenkomsten afgesloten tussen de producenten en de Instelling, die door de algemene regels en de acceptatiecriteria zoals bedoeld in het tweede tot vierde lid beïnvloed worden, worden hiermee van rechtswege in overeenstemming gebracht.]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De opdrachten betreffende de ontmanteling omvatten de verzameling en de evaluatie van elke informatie waarmee de Instelling beheersprogramma's kan opstellen inzake het afval dat eruit zal voortspruiten, het akkoord over het programma voor ontmanteling van de besmette installaties, evenals de uitvoering van dit programma op aanvraag van de exploitant of in geval van tekortkoming van deze laatste.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 Instelling mag alle tot het verwezenlijken van haar doel nodige of nuttige verrichtingen doen.</w:t>
            </w:r>
          </w:p>
          <w:p>
            <w:pPr>
              <w:spacing w:before="0" w:after="0"/>
              <w:ind w:left="390"/>
              <w:jc w:val="left"/>
            </w:pPr>
            <w:r>
              <w:rPr>
                <w:rFonts w:ascii="Arial" w:hAnsi="Arial"/>
                <w:b w:val="false"/>
                <w:i w:val="false"/>
                <w:color w:val="333333"/>
                <w:sz w:val="18"/>
              </w:rPr>
              <w:t>Zij kan met name alle overeenkomsten sluiten, leningen aangaan, derden in haar vorderingen subrogeren, deze cederen of er anders over beschikken, alle schikkingen, zelfs voorstellen tot concordaat, aannemen, dadingen en compromissen aangaan, alle schuldvorderingen en zekerheden overlaten, van welk verhaal ook afzien en arbitrage-overeenkomsten sluiten. [De instelling kan, voor de uitvoering van haar opdrachten, rechtstreeks of onrechtstreeks deelnemen aan vennootschappen, verenigingen, samenwerkingsverbanden en andere rechtspersonen, alsook aan overleg- en beheerorganen, en kan voornoemde structuren oprichten, voor zover de deelname of oprichting bijdraagt tot de verwezenlijking van de opdrachten van de instelling. De beslissing om een handelsvennootschap op te richten of erin deel te nemen, wordt goedgekeurd door de Koning, bij een besluit vastgesteld na overleg in de Ministerraad.] [De Instelling kan door de Koning, bij een in ministerraad overlegd besluit, gemachtigd worden om in eigen naam en voor eigen rekening over te gaan tot onteigeningen die noodzakelijk zijn voor de verwezenlijking van haar doelstellingen en opgelegde taken.]</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Alle kosten verbonden aan de activiteiten van de Instelling, de kosten van haar operaties voor onderzoek, ontwikkeling en demonstratie en de kosten op lange termijn inbegrepen [maar met uitzondering van de kosten die gebonden zijn aan de activiteiten gedurende de twee eerste jaren van de inventarisatie], zullen worden ten laste gelegd van de maatschappijen, organismen, instellingen of personen waarvoor de Instelling haar prestaties verricht. Deze kosten, geraamd tegen kostprijs, zullen worden verdeeld tussen de begunstigden van de prestaties en naar verhouding ermee, rekening houdend met objectieve criteria.</w:t>
            </w:r>
          </w:p>
          <w:p>
            <w:pPr>
              <w:spacing w:before="0" w:after="0"/>
              <w:ind w:left="390"/>
              <w:jc w:val="left"/>
            </w:pPr>
            <w:r>
              <w:rPr>
                <w:rFonts w:ascii="Arial" w:hAnsi="Arial"/>
                <w:b w:val="false"/>
                <w:i w:val="false"/>
                <w:color w:val="333333"/>
                <w:sz w:val="18"/>
              </w:rPr>
              <w:t>[De volgende kosten worden gedekt door de bijdragen die ten laste worden gelegd van de uitbaters van nucleaire installaties en van de houders van radioactieve stoffen of, bij ontstentenis daarvan, van hun eigenaars, van de begunstigden van de diensten van de Instelling of van de rechtspersonen of natuurlijke personen die in hun rechten en plichten treden: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kosten verbonden aan de opmaak en het bijhouden van de inventaris, bedoeld in de bepaling onder 6°;</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kosten verbonden aan de uitvoering van de opdrachten waarmee de ministers die bevoegd zijn voor Economie en Energie de Instelling op basis van de inventaris bedoeld in de bepaling onder 6° hebben belast;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kosten verbonden aan de volgende opdrachten:</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de opmaak van voorstellen van Nationale Beleids-maatregelen inzake het beheer van het radioactief afval en de verbruikte splijtstof, bedoeld in paragraaf 6;</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de ontwikkeling en uitvoering van regelingen die ertoe strekken een effectieve participatie van het publiek aan het besluitvormingsproces inzake het beheer van de verbruikte splijtstof en het radioactief afval, bedoeld in paragraaf 6, te garanderen, inzonderheid om de in dezelfde paragraaf bedoelde Nationale beleidsmaatregelen vast te stellen en in stand te houden;</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het secretariaat van het Comité van het Nationale Programma dat belast is met het voorstellen aan de ministers bevoegd voor Energie en Economie, van een Nationaal Programma voor het beheer van de verbruikte splijtstof en het radioactief afval en het bijhouden ervan, bedoeld in paragraaf 8;</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de coördinatie van de activiteiten voor de opmaak en de kennisgeving van het verslag over de uitvoering van richtlijn 2011/70/Euratom, bedoeld in paragraaf 9, 1.;</w:t>
            </w:r>
          </w:p>
          <w:p>
            <w:pPr>
              <w:spacing w:before="0" w:after="0"/>
              <w:ind w:left="780"/>
              <w:jc w:val="left"/>
            </w:pPr>
            <w:r>
              <w:rPr>
                <w:rFonts w:ascii="Arial" w:hAnsi="Arial"/>
                <w:b w:val="false"/>
                <w:i w:val="false"/>
                <w:color w:val="333333"/>
                <w:sz w:val="18"/>
              </w:rPr>
              <w:t>v.</w:t>
            </w:r>
          </w:p>
          <w:p>
            <w:pPr>
              <w:spacing w:before="0" w:after="0"/>
              <w:ind w:left="1080"/>
              <w:jc w:val="left"/>
            </w:pPr>
            <w:r>
              <w:rPr>
                <w:rFonts w:ascii="Arial" w:hAnsi="Arial"/>
                <w:b w:val="false"/>
                <w:i w:val="false"/>
                <w:color w:val="333333"/>
                <w:sz w:val="18"/>
              </w:rPr>
              <w:t>de zelfevaluaties en internationale collegiale toetsingen van het Nationale Programma en van de uitvoering ervan, bedoeld in paragraaf 9, 2. en 3.</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kosten met betrekking tot het opmaken van de inventaris, voor de eerste twee jaren, zullen gedragen worden door het Fonds voor de technische veiligheid van de nucleaire installaties van het Ministerie van Tewerkstelling en Arbeid en het Fonds voor de bescherming tegen ioniserende stralingen van het Ministerie van Sociale Zaken, Volksgezondheid en Leefmilieu.]</w:t>
            </w:r>
          </w:p>
          <w:p>
            <w:pPr>
              <w:spacing w:before="0" w:after="0"/>
              <w:ind w:left="390"/>
              <w:jc w:val="left"/>
            </w:pPr>
            <w:r>
              <w:rPr>
                <w:rFonts w:ascii="Arial" w:hAnsi="Arial"/>
                <w:b w:val="false"/>
                <w:i w:val="false"/>
                <w:color w:val="333333"/>
                <w:sz w:val="18"/>
              </w:rPr>
              <w:t>[De Instelling kan een fonds oprichten voor de financiering van haar opdrachten op lange termijn, ook Fonds op lange termijn genoemd. Dit fonds dient om alle kosten en investeringen te dekken die noodzakelijk zijn om het radioactieve afval op te slaan en om berginginstallaties voor het radioactieve afval te bouwen, te exploiteren en te sluiten, en er de institutionele controle van te verzekeren, in overeenstemming met de vergunningen die uitgereikt zijn om deze activiteiten uit te voeren.</w:t>
            </w:r>
          </w:p>
          <w:p>
            <w:pPr>
              <w:spacing w:before="0" w:after="0"/>
              <w:ind w:left="390"/>
              <w:jc w:val="left"/>
            </w:pPr>
            <w:r>
              <w:rPr>
                <w:rFonts w:ascii="Arial" w:hAnsi="Arial"/>
                <w:b w:val="false"/>
                <w:i w:val="false"/>
                <w:color w:val="333333"/>
                <w:sz w:val="18"/>
              </w:rPr>
              <w:t>Het Fonds op lange termijn wordt gestijfd door retributies die in rekening worden gebracht van de producenten van radioactief afval. Deze retributies worden berekend op basis van de kosten die toe te schrijven zijn aan het respectieve afval van deze producenten en die worden geraamd op basis van de leidende principes die door de Koning worden vastgesteld, bij een besluit vastgesteld na overleg in de Ministerraad.</w:t>
            </w:r>
          </w:p>
          <w:p>
            <w:pPr>
              <w:spacing w:before="0" w:after="0"/>
              <w:ind w:left="390"/>
              <w:jc w:val="left"/>
            </w:pPr>
            <w:r>
              <w:rPr>
                <w:rFonts w:ascii="Arial" w:hAnsi="Arial"/>
                <w:b w:val="false"/>
                <w:i w:val="false"/>
                <w:color w:val="333333"/>
                <w:sz w:val="18"/>
              </w:rPr>
              <w:t>De waarden van deze leidende principes, alsook bepaalde modaliteiten voor het stijven van het fonds op lange termijn, worden in onderlinge overeenstemming vastgesteld tussen de Instelling en de afvalproducenten, en zijn het voorwerp van daartoe gesloten overeenkomsten. Indien het onmogelijk is deze waarden en modaliteiten door een overeenkomst vast te stellen, worden ze op eensluidend advies van de instelling, vastgesteld door de Koning, bij een besluit vastgesteld na overleg in de Ministerraad.</w:t>
            </w:r>
          </w:p>
          <w:p>
            <w:pPr>
              <w:spacing w:before="0" w:after="0"/>
              <w:ind w:left="390"/>
              <w:jc w:val="left"/>
            </w:pPr>
            <w:r>
              <w:rPr>
                <w:rFonts w:ascii="Arial" w:hAnsi="Arial"/>
                <w:b w:val="false"/>
                <w:i w:val="false"/>
                <w:color w:val="333333"/>
                <w:sz w:val="18"/>
              </w:rPr>
              <w:t>De Instelling kan een fonds oprichten, ook Fonds op middellange termijn genoemd, om de kosten te dekken van de bijbehorende voorwaarden die werden goedgekeurd, enerzijds, door de gemeenteraad (-raden) van de gemeente(n) die het mogelijk heeft (hebben) gemaakt een maatschappelijk draagvlak te creëren en te bestendigen voor de vestiging van een bergingsinstallatie, door de ontwikkeling en de instandhouding van een participatief proces of van elke andere bestaande of uit te werken methode of procédé die hetzelfde resultaat bereikt, en, anderzijds, op voorstel van de Instelling, door de federale regering.</w:t>
            </w:r>
          </w:p>
          <w:p>
            <w:pPr>
              <w:spacing w:before="0" w:after="0"/>
              <w:ind w:left="390"/>
              <w:jc w:val="left"/>
            </w:pPr>
            <w:r>
              <w:rPr>
                <w:rFonts w:ascii="Arial" w:hAnsi="Arial"/>
                <w:b w:val="false"/>
                <w:i w:val="false"/>
                <w:color w:val="333333"/>
                <w:sz w:val="18"/>
              </w:rPr>
              <w:t>Deze kosten worden gemaakt om het vereiste maatschappelijk draagvlak te creëren en in stand te houden voor de integratie van een bergingsinstallatie voor radioactief afval in een lokale collectiviteit.</w:t>
            </w:r>
          </w:p>
          <w:p>
            <w:pPr>
              <w:spacing w:before="0" w:after="0"/>
              <w:ind w:left="390"/>
              <w:jc w:val="left"/>
            </w:pPr>
            <w:r>
              <w:rPr>
                <w:rFonts w:ascii="Arial" w:hAnsi="Arial"/>
                <w:b w:val="false"/>
                <w:i w:val="false"/>
                <w:color w:val="333333"/>
                <w:sz w:val="18"/>
              </w:rPr>
              <w:t>In ieder geval kunnen de middelen van het Fonds op middellange termijn worden aangewend om alle of een deel van de kosten te financieren verbonden aan de investering en de exploitatie van de infrastructuren alsook aan de activiteiten en projecten van de lokale collectiviteit die, via een participatief proces, de continuïteit van het maatschappelijk draagvlak voor de berging verzekert.</w:t>
            </w:r>
          </w:p>
          <w:p>
            <w:pPr>
              <w:spacing w:before="0" w:after="0"/>
              <w:ind w:left="390"/>
              <w:jc w:val="left"/>
            </w:pPr>
            <w:r>
              <w:rPr>
                <w:rFonts w:ascii="Arial" w:hAnsi="Arial"/>
                <w:b w:val="false"/>
                <w:i w:val="false"/>
                <w:color w:val="333333"/>
                <w:sz w:val="18"/>
              </w:rPr>
              <w:t>Het Fonds op middellange termijn wordt gestijfd door de integratiebijdrage die geheven wordt bij de producenten van radioactief afval. Deze integratiebijdrage wordt berekend op basis van de totale capaciteit van de bergingsinstallatie en de totale respectieve afvalhoeveelheden van de producenten die bestemd zijn om er geborgen te worden.</w:t>
            </w:r>
          </w:p>
          <w:p>
            <w:pPr>
              <w:spacing w:before="0" w:after="0"/>
              <w:ind w:left="390"/>
              <w:jc w:val="left"/>
            </w:pPr>
            <w:r>
              <w:rPr>
                <w:rFonts w:ascii="Arial" w:hAnsi="Arial"/>
                <w:b w:val="false"/>
                <w:i w:val="false"/>
                <w:color w:val="333333"/>
                <w:sz w:val="18"/>
              </w:rPr>
              <w:t>Het bedrag van de integratiebijdrage die verschuldigd is om het Fonds op middelange termijn te stijven, wordt als volgt vastgesteld:</w:t>
            </w:r>
          </w:p>
          <w:p>
            <w:pPr>
              <w:spacing w:before="0" w:after="0"/>
              <w:ind w:left="390"/>
              <w:jc w:val="left"/>
            </w:pPr>
            <w:r>
              <w:rPr>
                <w:rFonts w:ascii="Arial" w:hAnsi="Arial"/>
                <w:b w:val="false"/>
                <w:i w:val="false"/>
                <w:color w:val="333333"/>
                <w:sz w:val="18"/>
              </w:rPr>
              <w:t>Hp = ( Qp / Qt) × T × FC</w:t>
            </w:r>
          </w:p>
          <w:p>
            <w:pPr>
              <w:spacing w:before="0" w:after="0"/>
              <w:ind w:left="390"/>
              <w:jc w:val="left"/>
            </w:pPr>
            <w:r>
              <w:rPr>
                <w:rFonts w:ascii="Arial" w:hAnsi="Arial"/>
                <w:b w:val="false"/>
                <w:i w:val="false"/>
                <w:color w:val="333333"/>
                <w:sz w:val="18"/>
              </w:rPr>
              <w:t>waarbij:</w:t>
            </w:r>
          </w:p>
          <w:p>
            <w:pPr>
              <w:spacing w:before="0" w:after="0"/>
              <w:ind w:left="390"/>
              <w:jc w:val="left"/>
            </w:pPr>
            <w:r>
              <w:rPr>
                <w:rFonts w:ascii="Arial" w:hAnsi="Arial"/>
                <w:b w:val="false"/>
                <w:i w:val="false"/>
                <w:color w:val="333333"/>
                <w:sz w:val="18"/>
              </w:rPr>
              <w:t>Hp = het bedrag van de door afvalproducent P verschuldigde bijdrage aan het Fonds op middellange termijn;</w:t>
            </w:r>
          </w:p>
          <w:p>
            <w:pPr>
              <w:spacing w:before="0" w:after="0"/>
              <w:ind w:left="390"/>
              <w:jc w:val="left"/>
            </w:pPr>
            <w:r>
              <w:rPr>
                <w:rFonts w:ascii="Arial" w:hAnsi="Arial"/>
                <w:b w:val="false"/>
                <w:i w:val="false"/>
                <w:color w:val="333333"/>
                <w:sz w:val="18"/>
              </w:rPr>
              <w:t>T = het totale bedrag van de bijdrage aan het Fonds op middellange termijn;</w:t>
            </w:r>
          </w:p>
          <w:p>
            <w:pPr>
              <w:spacing w:before="0" w:after="0"/>
              <w:ind w:left="390"/>
              <w:jc w:val="left"/>
            </w:pPr>
            <w:r>
              <w:rPr>
                <w:rFonts w:ascii="Arial" w:hAnsi="Arial"/>
                <w:b w:val="false"/>
                <w:i w:val="false"/>
                <w:color w:val="333333"/>
                <w:sz w:val="18"/>
              </w:rPr>
              <w:t>Qt = de totale capaciteit van de bergingsinstallatie, uitgedrukt in m</w:t>
            </w:r>
            <w:r>
              <w:rPr>
                <w:rFonts w:ascii="Arial" w:hAnsi="Arial"/>
                <w:b w:val="false"/>
                <w:i w:val="false"/>
                <w:color w:val="333333"/>
                <w:sz w:val="18"/>
                <w:vertAlign w:val="superscript"/>
              </w:rPr>
              <w:t>3</w:t>
            </w:r>
            <w:r>
              <w:rPr>
                <w:rFonts w:ascii="Arial" w:hAnsi="Arial"/>
                <w:b w:val="false"/>
                <w:i w:val="false"/>
                <w:color w:val="333333"/>
                <w:sz w:val="18"/>
              </w:rPr>
              <w:t>, zoals vermeld in de aanvraag voor de oprichtingsvergunning van de bergingsinstallatie, overeenkomstig de wet van 15 april 1994 betreffende de bescherming van de bevolking en van het leefmilieu tegen de uit ioniserende stralingen voortspruitende gevaren en betreffende het Federaal Agentschap voor Nucleaire Controle;</w:t>
            </w:r>
          </w:p>
          <w:p>
            <w:pPr>
              <w:spacing w:before="0" w:after="0"/>
              <w:ind w:left="390"/>
              <w:jc w:val="left"/>
            </w:pPr>
            <w:r>
              <w:rPr>
                <w:rFonts w:ascii="Arial" w:hAnsi="Arial"/>
                <w:b w:val="false"/>
                <w:i w:val="false"/>
                <w:color w:val="333333"/>
                <w:sz w:val="18"/>
              </w:rPr>
              <w:t>Qp = de totale hoeveelheid afval, uitgedrukt in m</w:t>
            </w:r>
            <w:r>
              <w:rPr>
                <w:rFonts w:ascii="Arial" w:hAnsi="Arial"/>
                <w:b w:val="false"/>
                <w:i w:val="false"/>
                <w:color w:val="333333"/>
                <w:sz w:val="18"/>
                <w:vertAlign w:val="superscript"/>
              </w:rPr>
              <w:t>3</w:t>
            </w:r>
            <w:r>
              <w:rPr>
                <w:rFonts w:ascii="Arial" w:hAnsi="Arial"/>
                <w:b w:val="false"/>
                <w:i w:val="false"/>
                <w:color w:val="333333"/>
                <w:sz w:val="18"/>
              </w:rPr>
              <w:t>, die gereserveerd wordt voor producent P, en die bestemd is om geborgen te worden op de bergingssite, bijgewerkt op 1 januari van het jaar waarin de belasting van kracht wordt;</w:t>
            </w:r>
          </w:p>
          <w:p>
            <w:pPr>
              <w:spacing w:before="0" w:after="0"/>
              <w:ind w:left="390"/>
              <w:jc w:val="left"/>
            </w:pPr>
            <w:r>
              <w:rPr>
                <w:rFonts w:ascii="Arial" w:hAnsi="Arial"/>
                <w:b w:val="false"/>
                <w:i w:val="false"/>
                <w:color w:val="333333"/>
                <w:sz w:val="18"/>
              </w:rPr>
              <w:t>FC = corrigerende factor, rekening houdend met de vrijstellingen.</w:t>
            </w:r>
          </w:p>
          <w:p>
            <w:pPr>
              <w:spacing w:before="0" w:after="0"/>
              <w:ind w:left="390"/>
              <w:jc w:val="left"/>
            </w:pPr>
            <w:r>
              <w:rPr>
                <w:rFonts w:ascii="Arial" w:hAnsi="Arial"/>
                <w:b w:val="false"/>
                <w:i w:val="false"/>
                <w:color w:val="333333"/>
                <w:sz w:val="18"/>
              </w:rPr>
              <w:t>De Instelling int de integratiebijdrage volgens de modaliteiten en op het tijdstip vastgesteld door de Koning. Het bedrag T voor het Fonds op middellange termijn, aangelegd voor de oppervlakteberging van het afval van categorie A op het grondgebied van de gemeente Dessel, bedraagt 130 000 000 euro. De Koning bepaalt, op voorstel van de Instelling, de waarde van Qt, Qp en FC, bij een besluit vastgesteld na overleg in de Ministerraad.</w:t>
            </w:r>
          </w:p>
          <w:p>
            <w:pPr>
              <w:spacing w:before="0" w:after="0"/>
              <w:ind w:left="390"/>
              <w:jc w:val="left"/>
            </w:pPr>
            <w:r>
              <w:rPr>
                <w:rFonts w:ascii="Arial" w:hAnsi="Arial"/>
                <w:b w:val="false"/>
                <w:i w:val="false"/>
                <w:color w:val="333333"/>
                <w:sz w:val="18"/>
              </w:rPr>
              <w:t>Het bedrag T wordt jaarlijks geïndexeerd op basis van de schommelingen van het indexcijfer van de consumptieprijzen vanaf het jaar 2010 tot het jaar waarin het bedrag T integraal wordt geheven bij de producenten. Tijdens de heffingsperiode worden de uitgevoerde heffingen afgetrokken van het bedrag T alvorens tot de indexering over te gaan.</w:t>
            </w:r>
          </w:p>
          <w:p>
            <w:pPr>
              <w:spacing w:before="0" w:after="0"/>
              <w:ind w:left="390"/>
              <w:jc w:val="left"/>
            </w:pPr>
            <w:r>
              <w:rPr>
                <w:rFonts w:ascii="Arial" w:hAnsi="Arial"/>
                <w:b w:val="false"/>
                <w:i w:val="false"/>
                <w:color w:val="333333"/>
                <w:sz w:val="18"/>
              </w:rPr>
              <w:t>De verplichting om bij te dragen tot het Fonds op middellange termijn, gaat in vanaf het ogenblik dat de bergingsinstallatie voor radioactief afval het voorwerp is geweest van een definitieve en uitvoerbare oprichtingsvergunning, overeenkomstig de wet van 15 april 1994 betreffende de bescherming van de bevolking en van het leefmilieu tegen de uit ioniserende stralingen voortspruitende gevaren en betreffende het Federaal Agentschap voor Nucleaire Controle, alsook van een bouwvergunning en, in voorkomend geval, een milieuvergunning, overeenkomstig de van toepassing zijnde gewestelijke regelgeving.</w:t>
            </w:r>
          </w:p>
          <w:p>
            <w:pPr>
              <w:spacing w:before="0" w:after="0"/>
              <w:ind w:left="390"/>
              <w:jc w:val="left"/>
            </w:pPr>
            <w:r>
              <w:rPr>
                <w:rFonts w:ascii="Arial" w:hAnsi="Arial"/>
                <w:b w:val="false"/>
                <w:i w:val="false"/>
                <w:color w:val="333333"/>
                <w:sz w:val="18"/>
              </w:rPr>
              <w:t>Op voorwaarde dat hun individueel aandeel in de capaciteit niet meer dan 3 % van de totale capaciteit van de bergingsinstallatie bedraagt, zijn de openbare onderzoeksinstellingen die voor het merendeel betaald worden door de Staat, een Gemeenschap of een Gewest, en de openbare of private instellingen die actief zijn in de sector van de gezondheidszorg, vrijgesteld van betaling van de integratiebijdrage. Voor zover hun individueel aandeel in de capaciteit voormelde drempel niet overschrijdt, zijn de occasionele producenten van radioactief afval eveneens vrijgesteld.</w:t>
            </w:r>
          </w:p>
          <w:p>
            <w:pPr>
              <w:spacing w:before="0" w:after="0"/>
              <w:ind w:left="390"/>
              <w:jc w:val="left"/>
            </w:pPr>
            <w:r>
              <w:rPr>
                <w:rFonts w:ascii="Arial" w:hAnsi="Arial"/>
                <w:b w:val="false"/>
                <w:i w:val="false"/>
                <w:color w:val="333333"/>
                <w:sz w:val="18"/>
              </w:rPr>
              <w:t>De middelen van het Fonds op middellange termijn kunnen in ieder geval worden aangewend ten behoeve van de lokale collectiviteit en/of haar inwoners die het mogelijk hebben gemaakt een maatschappelijk draagvlak te creëren en te bestendigen voor de vestiging van een bergingsinstallatie, door de ontwikkeling en de instandhouding van een participatief proces of van elke andere bestaande of uit te werken methode die hetzelfde resultaat bereikt, of ten behoeve van de lokale collectiviteit en/of haar inwoners die worden geraadpleegd in het kader van de vergunningsprocedure ter uitvoering van de wet van 15 april 1994 betreffende de bescherming van de bevolking en van het leefmilieu tegen de uit ioniserende stralingen voortspruitende gevaren en betreffende het Federaal Agentschap voor Nucleaire Controle.</w:t>
            </w:r>
          </w:p>
          <w:p>
            <w:pPr>
              <w:spacing w:before="0" w:after="0"/>
              <w:ind w:left="390"/>
              <w:jc w:val="left"/>
            </w:pPr>
            <w:r>
              <w:rPr>
                <w:rFonts w:ascii="Arial" w:hAnsi="Arial"/>
                <w:b w:val="false"/>
                <w:i w:val="false"/>
                <w:color w:val="333333"/>
                <w:sz w:val="18"/>
              </w:rPr>
              <w:t>De middelen van het Fonds op middellange termijn kunnen worden gebruikt vanaf het ogenblik dat de integratiebijdrage wordt geheven bij de producenten, overeenkomstig het punt 14° van deze paragraaf.</w:t>
            </w:r>
          </w:p>
          <w:p>
            <w:pPr>
              <w:spacing w:before="0" w:after="0"/>
              <w:ind w:left="390"/>
              <w:jc w:val="left"/>
            </w:pPr>
            <w:r>
              <w:rPr>
                <w:rFonts w:ascii="Arial" w:hAnsi="Arial"/>
                <w:b w:val="false"/>
                <w:i w:val="false"/>
                <w:color w:val="333333"/>
                <w:sz w:val="18"/>
              </w:rPr>
              <w:t>Binnen de Instelling wordt een toezichtcomité opgericht, belast met het controleren van de bestemming van de middelen van het Fonds op middellange termijn. De Koning bepaalt de samenstelling en de modaliteiten van de uitoefening van zijn opdracht, bij een besluit vastgesteld na overleg in de Ministerraad.]</w:t>
            </w:r>
          </w:p>
          <w:p>
            <w:pPr>
              <w:spacing w:before="0" w:after="0"/>
              <w:ind w:left="90"/>
              <w:jc w:val="left"/>
            </w:pPr>
            <w:r>
              <w:rPr>
                <w:rFonts w:ascii="Arial" w:hAnsi="Arial"/>
                <w:b w:val="false"/>
                <w:i w:val="false"/>
                <w:color w:val="333333"/>
                <w:sz w:val="18"/>
              </w:rPr>
              <w:t>[11°bis</w:t>
            </w:r>
          </w:p>
          <w:p>
            <w:pPr>
              <w:spacing w:before="0" w:after="0"/>
              <w:ind w:left="390"/>
              <w:jc w:val="left"/>
            </w:pPr>
            <w:r>
              <w:rPr>
                <w:rFonts w:ascii="Arial" w:hAnsi="Arial"/>
                <w:b w:val="false"/>
                <w:i w:val="false"/>
                <w:color w:val="333333"/>
                <w:sz w:val="18"/>
              </w:rPr>
              <w:t>Om de integratiebijdrage te innen die het Fonds op middellange termijn stijft, richt de Instelling een schriftelijk verzoek aan elke producent, binnen de termijn en volgens de modaliteiten die door de Koning zijn vastgesteld. Dit verzoek specificeert het verschuldigde bedrag en vermeldt het rekeningnummer waarop dit bedrag moet worden gestort. De producent beschikt over een termijn van maximum 50 kalenderdagen vanaf de dag die volgt op de verzending van het schriftelijk verzoek van de Instelling om tot betaling over te gaan. Bij gebrek aan betaling binnen deze termijn, zal de Instelling de producent aanmanen te betalen binnen een termijn van 15 kalenderdagen vanaf de dag die volgt op de verzending van de ingebrekestelling.</w:t>
            </w:r>
          </w:p>
          <w:p>
            <w:pPr>
              <w:spacing w:before="0" w:after="0"/>
              <w:ind w:left="390"/>
              <w:jc w:val="left"/>
            </w:pPr>
            <w:r>
              <w:rPr>
                <w:rFonts w:ascii="Arial" w:hAnsi="Arial"/>
                <w:b w:val="false"/>
                <w:i w:val="false"/>
                <w:color w:val="333333"/>
                <w:sz w:val="18"/>
              </w:rPr>
              <w:t>Indien de producent de betaling van de integratiebijdrage niet uitvoert overeenkomstig de voorwaarden bepaald in het voorgaande lid, en dit zonder enige rechtvaardiging, of wanneer de verstrekte rechtvaardiging onaanvaardbaar wordt geacht door de Instelling, kan deze de producent een administratieve boete opleggen waarvan het bedrag maximum 30 % van de onbetaalde som bedraagt. De producent wordt per aangetekende brief in kennis gesteld van de beslissing om een administratieve boete op te leggen. De kennisgeving vermeldt de betalingswijze en de betalingstermijn.</w:t>
            </w:r>
          </w:p>
          <w:p>
            <w:pPr>
              <w:spacing w:before="0" w:after="0"/>
              <w:ind w:left="390"/>
              <w:jc w:val="left"/>
            </w:pPr>
            <w:r>
              <w:rPr>
                <w:rFonts w:ascii="Arial" w:hAnsi="Arial"/>
                <w:b w:val="false"/>
                <w:i w:val="false"/>
                <w:color w:val="333333"/>
                <w:sz w:val="18"/>
              </w:rPr>
              <w:t>Elk geschil betreffende een administratieve boete die wordt opgelegd om het Fonds op middellange termijn te stijven, wordt voor de rechtbank van eerste aanleg gebracht. Op straffe van verval dient de aanhangigmaking bij de rechtbank te gebeuren door middel van een verzoekschrift binnen de twee maanden die volgen op de kennisgeving van de boete.]</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[De Koning kan, bij een besluit vastgesteld na overleg in de Ministerraad, in overeenstemming met de bepalingen van het 11° van deze paragraaf, de financieringsvoorwaarden voor de activiteiten van de Instelling reglementeren.</w:t>
            </w:r>
          </w:p>
          <w:p>
            <w:pPr>
              <w:spacing w:before="0" w:after="0"/>
              <w:ind w:left="390"/>
              <w:jc w:val="left"/>
            </w:pPr>
            <w:r>
              <w:rPr>
                <w:rFonts w:ascii="Arial" w:hAnsi="Arial"/>
                <w:b w:val="false"/>
                <w:i w:val="false"/>
                <w:color w:val="333333"/>
                <w:sz w:val="18"/>
              </w:rPr>
              <w:t>De in het vorige lid bepaalde delegatie heeft niet tot doel de essentiële bestanddelen te bepalen van de integratiebijdrage die ten voordele van het Fonds op middellange termijn wordt geïnd.]</w:t>
            </w:r>
          </w:p>
          <w:p>
            <w:pPr>
              <w:spacing w:before="0" w:after="0"/>
              <w:ind w:left="390"/>
              <w:jc w:val="left"/>
            </w:pPr>
            <w:r>
              <w:rPr>
                <w:rFonts w:ascii="Arial" w:hAnsi="Arial"/>
                <w:b w:val="false"/>
                <w:i w:val="false"/>
                <w:color w:val="333333"/>
                <w:sz w:val="18"/>
              </w:rPr>
              <w:t>Met het doel het financiële evenwicht van de Instelling te waarborgen kan de Koning in de kosten van de prestaties een aandeel insluiten om een provincie te vormen om het eventuele faillissement of onvermogen van bepaalde producenten te ondervangen, en dit tot een maximum van 5% van de kosten van de prestaties.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Jaarlijks wordt er verslag uitgebracht bij de Wetgevende Kamers over de activiteiten en de financiering van de Instelling, evenals over de wijze waarop de bevolking over de activiteitsdomeinen van de Instelling voorgelicht wordt.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De vertegenwoordiging van de Gewesten in de verschillende bestuurs- en beheersorganen van de Instelling wordt geregeld overeenkomstig het bepaalde in artikel 92ter van de bijzondere wet van 8 augustus 1980 tot hervorming der instellingen.]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De activiteiten van de Instelling, alsook de activiteiten die gedekt worden door het Fonds op middellange termijn, kunnen aanvullend worden gefinancierd door middel van de volgende inkomsten: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legaten en schenkingen te harer gunste;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occasionele toelagen en inkomsten;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alle andere wettelijke of reglementaire ontvangsten verbonden aan haar actie en de vergoedingen voor prestaties.]</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Naast de algemene bevoegdheid die haar wordt verleend in 10°, beschikt de Instelling, in het kader van de activiteiten die zij uitvoert om een maatschappelijk draagvlak te creëren en in stand te houden dat vereist is voor de integratie van een bergingsinstallatie voor radioactief afval, over de specifieke bevoegdheid om een fonds met rechtspersoonlijkheid op te richten, Lokaal fonds genaamd, dat tot doel heeft een duurzame meerwaarde te creëren voor een lokale collectiviteit. Het Lokaal fonds neemt de vorm aan van een private stichting die, voor zover daarvan niet wordt afgeweken bij deze wet, onderworpen is aan de wet van 27 juni 1921 betreffende de verenigingen zonder winstoogmerk, de internationale verenigingen zonder winstoogmerk en de stichtingen.</w:t>
            </w:r>
          </w:p>
          <w:p>
            <w:pPr>
              <w:spacing w:before="0" w:after="0"/>
              <w:ind w:left="390"/>
              <w:jc w:val="left"/>
            </w:pPr>
            <w:r>
              <w:rPr>
                <w:rFonts w:ascii="Arial" w:hAnsi="Arial"/>
                <w:b w:val="false"/>
                <w:i w:val="false"/>
                <w:color w:val="333333"/>
                <w:sz w:val="18"/>
              </w:rPr>
              <w:t>De middelen van het Lokaal fonds komen voort uit het Fonds op middellange termijn dat door de Instelling wordt opgericht overeenkomstig het 11° van deze paragraaf.</w:t>
            </w:r>
          </w:p>
          <w:p>
            <w:pPr>
              <w:spacing w:before="0" w:after="0"/>
              <w:ind w:left="390"/>
              <w:jc w:val="left"/>
            </w:pPr>
            <w:r>
              <w:rPr>
                <w:rFonts w:ascii="Arial" w:hAnsi="Arial"/>
                <w:b w:val="false"/>
                <w:i w:val="false"/>
                <w:color w:val="333333"/>
                <w:sz w:val="18"/>
              </w:rPr>
              <w:t>De Instelling stelt de statuten van het Lokaal fonds vast. Iedere wijziging van deze statuten is onderworpen aan de voorafgaande goedkeuring van de Instelling. Het recht om voor de rechtbank van eerste aanleg een vordering tot wijziging van de statuten in te stellen overeenkomstig artikel 30, § 3, van de wet van 27 juni 1921 betreffende de verenigingen zonder winstoogmerk, de internationale verenigingen zonder winstoogmerk en de stichtingen, komt, in afwijking van zulke bepaling, uitsluitend toe aan de Instelling.</w:t>
            </w:r>
          </w:p>
          <w:p>
            <w:pPr>
              <w:spacing w:before="0" w:after="0"/>
              <w:ind w:left="390"/>
              <w:jc w:val="left"/>
            </w:pPr>
            <w:r>
              <w:rPr>
                <w:rFonts w:ascii="Arial" w:hAnsi="Arial"/>
                <w:b w:val="false"/>
                <w:i w:val="false"/>
                <w:color w:val="333333"/>
                <w:sz w:val="18"/>
              </w:rPr>
              <w:t>Binnen het vermogen van het Lokaal fonds kunnen afzonderlijke compartimenten worden ingericht. De compartimenten worden onafhankelijk van elkaar beheerd op bestuurlijk, boekhoudkundig en financieel vlak, volgens de in de statuten van het Lokaal fonds vastgestelde modaliteiten. Indien, overeenkomstig het voorgaande, verschillende compartimenten worden gecreëerd binnen het vermogen van het Lokaal fonds: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dient elke verrichting op expliciete wijze te worden toegerekend aan één of meer compartimenten;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strekken, in afwijking van de artikelen 7 en 8 van de hypotheekwet van 16 december 1851, de activa van een compartiment uitsluitend tot waarborg voor de rechten van de schuldeisers van dit compartiment, en zijn de rechten van deze schuldeisers beperkt tot de activa van dit compartiment;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worden deze compartimenten afzonderlijk vereffend.</w:t>
            </w:r>
          </w:p>
          <w:p>
            <w:pPr>
              <w:spacing w:before="0" w:after="0"/>
              <w:ind w:left="390"/>
              <w:jc w:val="left"/>
            </w:pPr>
            <w:r>
              <w:rPr>
                <w:rFonts w:ascii="Arial" w:hAnsi="Arial"/>
                <w:b w:val="false"/>
                <w:i w:val="false"/>
                <w:color w:val="333333"/>
                <w:sz w:val="18"/>
              </w:rPr>
              <w:t>Naast het algemene toezicht dat wordt uitgeoefend door het toezichtcomité bedoeld in het 11°, laatste lid, van deze paragraaf is het Lokaal fonds onderworpen aan een specifiek toezicht van de Instelling op de naleving van haar statuten, de in uitvoering van deze statuten vastgestelde reglementen en, in het algemeen, van de wet- en regelgeving die van toepassing is op het Lokaal fonds. De Instelling kan dit toezicht uitoefenen door tussenkomst van een waarnemer die zij aanstelt overeenkomstig de door de Koning vastgestelde modaliteiten. Om dit toezicht uit te oefenen, beschikken de Instelling en de door haar aangestelde waarnemer over de meest uitgebreide waarnemings-, informatie- en inzagerechten. In het kader van dit specifieke toezicht zijn de Instelling en de waarnemer gemachtigd om de door de organen van het Lokaal fonds genomen beslissingen op te schorten en te vernietigen. De modaliteiten volgens dewelke dit specifieke toezicht wordt uitgeoefend, worden bepaald door de Koning, bij een besluit vastgesteld na overleg in de Ministerraad.</w:t>
            </w:r>
          </w:p>
          <w:p>
            <w:pPr>
              <w:spacing w:before="0" w:after="0"/>
              <w:ind w:left="390"/>
              <w:jc w:val="left"/>
            </w:pPr>
            <w:r>
              <w:rPr>
                <w:rFonts w:ascii="Arial" w:hAnsi="Arial"/>
                <w:b w:val="false"/>
                <w:i w:val="false"/>
                <w:color w:val="333333"/>
                <w:sz w:val="18"/>
              </w:rPr>
              <w:t>Naast de hypotheses waarin de gevallen van ontbinding, door de rechtbank van eerste aanleg, bedoeld in artikel 39 van de wet van 27 juni 1921 betreffende de verenigingen zonder winstoogmerk, de internationale verenigingen zonder winstoogmerk en de stichtingen, kunnen worden toegepast, kan het Lokaal fonds worden ontbonden bij beslissing van de Instelling: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 de gevallen bedoeld in het eerste lid, 1° tot 4°, van het voornoemde artikel 39;</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bij herhaalde vernietiging van beslissingen op basis van het vernietigingstoezicht bedoeld in het vijfde lid.</w:t>
            </w:r>
          </w:p>
          <w:p>
            <w:pPr>
              <w:spacing w:before="0" w:after="0"/>
              <w:ind w:left="390"/>
              <w:jc w:val="left"/>
            </w:pPr>
            <w:r>
              <w:rPr>
                <w:rFonts w:ascii="Arial" w:hAnsi="Arial"/>
                <w:b w:val="false"/>
                <w:i w:val="false"/>
                <w:color w:val="333333"/>
                <w:sz w:val="18"/>
              </w:rPr>
              <w:t xml:space="preserve"> Artikel 40, paragraaf 1, van de wet van 27 juni 1921 betreffende de verenigingen zonder winstoogmerk, de internationale verenigingen zonder winstoogmerk en de stichtingen, is niet van toepassing op de vereffening van het Lokaal fonds. Alleen de Instelling kan optreden als vereffenaar van het Lokaal fonds. Bij de ontbinding van het Lokaal fonds verkrijgt de Instelling van rechtswege de hoedanigheid van vereffenaar van het Lokaal fonds, en bepaalt de Instelling de wijze waarop dit fonds zal worden vereffend, ongeacht of tot deze ontbinding wordt besloten door de Instelling overeenkomstig het voorgaande lid of door de rechtbank van eerste aanleg overeenkomstig artikel 39 van de wet van 27 juni 1921 betreffende de verenigingen zonder winstoogmerk, de internationale verenigingen zonder winstoogmerk en de stichtingen.</w:t>
            </w:r>
          </w:p>
          <w:p>
            <w:pPr>
              <w:spacing w:before="0" w:after="0"/>
              <w:ind w:left="390"/>
              <w:jc w:val="left"/>
            </w:pPr>
            <w:r>
              <w:rPr>
                <w:rFonts w:ascii="Arial" w:hAnsi="Arial"/>
                <w:b w:val="false"/>
                <w:i w:val="false"/>
                <w:color w:val="333333"/>
                <w:sz w:val="18"/>
              </w:rPr>
              <w:t>Het na vereffening van het Lokaal fonds resterende vermogen keert terug naar het Fonds op middellange termijn en wordt opnieuw aangewend voor de dekking van de kosten van de aanvullende voorwaarden die door dit laatste fonds moeten worden gefinancierd. Artikel 28, 6°, van de wet van 27 juni 1921 betreffende de verenigingen zonder winstoogmerk, de internationale verenigingen zonder winstoogmerk en de stichtingen, is niet van toepassing op het Lokaal fonds.]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controle van de activiteiten van de gemengde vennootschap, bepaald in § 1 en van deze van het openbaar organisme bepaald in § 2, zal worden uitgeoefend door de nationale organisatie voor controle van de kernactiviteiten.</w:t>
            </w:r>
          </w:p>
          <w:p>
            <w:pPr>
              <w:spacing w:before="60" w:after="60"/>
              <w:ind w:left="45"/>
              <w:jc w:val="left"/>
            </w:pPr>
            <w:r>
              <w:rPr>
                <w:rFonts w:ascii="Arial" w:hAnsi="Arial"/>
                <w:b w:val="false"/>
                <w:i w:val="false"/>
                <w:color w:val="333333"/>
                <w:sz w:val="18"/>
              </w:rPr>
              <w:t>De vennootschap en het organisme behouden de gehele verantwoordelijkheid voor het toezicht op de activiteiten en voor de veiligheid van hun installaties.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Tot opwerking van splijtstoffen, in België, kan slechts overgegaan worden nadat de Wetgevende Kamers zich hierover principieel hebben uitgesproken.</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0" w:after="0"/>
              <w:ind w:left="45"/>
              <w:jc w:val="left"/>
            </w:pPr>
            <w:r>
              <w:rPr>
                <w:rFonts w:ascii="Arial" w:hAnsi="Arial"/>
                <w:b w:val="false"/>
                <w:i w:val="false"/>
                <w:color w:val="333333"/>
                <w:sz w:val="18"/>
              </w:rPr>
              <w:t>In de zin van dit artikel, dient te worden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Sluiting: de beëindiging van alle operaties een zekere tijd nadat verbruikte splijtstof of radioactief afval in een bergingsinstallatie is geplaatst, met inbegrip van de uiteindelijke bouwkundige werken of andere werkzaamheden die vereist zijn om de installatie voor de lange termijn te beveiligen;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Bevoegde regelgevende autoriteit: het Federaal Agentschap voor Nucleaire Controle, opgericht bij artikel 2 van de wet van 15 april 1994 betreffende de bescherming van de bevolking en van het leefmilieu tegen de uit ioniserende stralingen voortspruitende gevaren en betreffende het Federaal Agentschap voor Nucleaire Controle;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Berging: de plaatsing van verbruikte splijtstof of radioactief afval in een installatie zonder de bedoeling die splijtstof of dat afval terug te halen, maar zonder afbreuk te doen aan de mogelijkheid om, in voorkomend geval, over te gaan tot recuperatie van afval, in overeenstemming met de modaliteiten gedefinieerd in de Nationale Beleidsmaatregelen bedoeld in § 6 en § 7 van dit artikel;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Bergingsinstallatie: elke installatie die de berging van radioactief afval als voornaamste doel heeft;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Vergunning: elk wettelijk document voor het uitvoeren van om het even welke activiteit in verband met het beheer van verbruikte splijtstof of radioactief afval, het ontwerp, de bouw, de inwerkingstelling, de bedrijfsvoering, de ontmanteling of de sluiting van een installatie voor het beheer van verbruikte splijtstof of een installatie voor het beheer van radioactief afval;</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Vergunninghouder: een natuurlijke of rechtspersoon aan wie een vergunning werd verleend;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Radioactief afval: een radioactieve stof in gasvormige, vloeibare of vaste staat waarvoor de Staat of een natuurlijke persoon of rechtspersoon wiens beslissing is aanvaard door de goedkeuring van een Nationale Beleidsmaatregel met betrekking tot deze stof zoals bedoeld in § 6 en § 7 van dit artikel, geen verder gebruik meer voorziet of overweegt en die door de bevoegde regelgevende autoriteit als radioactief afval wordt beschouwd, of indien deze stof dient te worden beschouwd als radioactief afval op grond van een wettelijke of reglementaire bepaling;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Beheer van radioactief afval: alle activiteiten die met name te maken hebben met het hanteren, het transport, de voorbehandeling, de behandeling, het conditioneren, de opslag of de berging van het radioactieve afval;</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Installatie voor het beheer van radioactief afval: elke installatie die het beheer van radioactief afval als voornaamste doel heeft;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 xml:space="preserve">Opwerking: een proces of procedé dat tot doel heeft radioactieve isotopen te onttrekken aan verbruikte splijtstof met het oog op verder gebruik; </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Verbruikte splijtstof: de kernsplijtstof die bestraald is in een reactorkern en permanent eruit is verwijderd; verbruikte splijtstof kan worden beschouwd hetzij als een bruikbare bron die kan worden hergebruikt of opgewerkt, hetzij als radioactief afval dat bestemd is voor berging;</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Beheer van verbruikte splijtstof: alle activiteiten die met name te maken hebben met het hanteren, het transport, de opslag, de opwerking of de berging van verbruikte splijtstof;</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Installatie voor het beheer van verbruikte splijtstof: elke installatie die het beheer van verbruikte splijtstof als voornaamste doel heeft;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Opslag: het onderbrengen van verbruikte splijtstof of radioactief afval in een installatie met de bedoeling die splijtstof of dat afval terug te halen;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[Overtollige hoeveelheden: hoeveelheden verrijkte splijtstoffen, plutoniumhoudende stoffen en ongebruikte of bestraalde splijtstof waarvoor de producent of exploitant niet in een verder gebruik of een verdere verwerking voorziet.]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6 </w:t>
            </w:r>
          </w:p>
          <w:p>
            <w:pPr>
              <w:spacing w:before="0" w:after="0"/>
              <w:ind w:left="45"/>
              <w:jc w:val="left"/>
            </w:pPr>
            <w:r>
              <w:rPr>
                <w:rFonts w:ascii="Arial" w:hAnsi="Arial"/>
                <w:b w:val="false"/>
                <w:i w:val="false"/>
                <w:color w:val="333333"/>
                <w:sz w:val="18"/>
              </w:rPr>
              <w:t>[Rekening houdende met de noodzaak van een effectieve participatie van het publiek aan het besluitvormingsproces, stelt de Koning bij besluit vastgesteld na overleg in de Ministerraad, op voorstel van de Instelling en na advies van de bevoegde regelgevende autoriteit, Nationale Beleidsmaatregelen vast en houdt deze in stand met betrekking tot het beheer van het radioactief afval en van de verbruikte splijtstof, in functie van de fysische, chemische en radiologische eigenschappen van het afval en van de verbruikte splijtstof, gebaseerd ten minste op de volgende algemene uitgangspunten: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productie van radioactief afval wordt beperkt tot een zo laag als redelijkerwijze haalbaar niveau, wat de activiteit en het volume betreft, door middel van gepaste ontwerpmaatregelen en praktijken inzake bedrijfsvoering en ontmanteling, met inbegrip van de opwerking en het hergebruik van stoffen;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er wordt rekening gehouden met de onderlinge afhankelijkheid van alle stappen in de productie en het beheer van de verbruikte splijtstof en het radioactief afval;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verbruikte splijtstof en het radioactief afval worden op een veilige manier beheerd, waarbij de veiligheid op lange termijn van een bergingsinstallatie onder meer op veiligheidsmaatregelen berust die op lange termijn passief moeten kunnen worden;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maatregelen worden ten uitvoer gelegd volgens een graduele aanpak;</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kosten voor het beheer van de verbruikte splijtstof en het radioactief afval zijn ten laste van diegenen die deze stoffen hebben geproduceerd;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alle stadia van het beheer van de verbruikte splijtstof en het radioactief afval wordt een met bewijskrachtige gegevens onderbouwd en gedocumenteerd besluitvormingsproces gevolgd.</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in het eerste lid bedoelde Nationale Beleidsmaatregelen worden beschouwd als plannen of programma's in de zin van de wet van 13 februari 2006 betreffende de beoordeling van de gevolgen voor het milieu van bepaalde plannen en programma's en de inspraak van het publiek bij de uitwerking van de plannen en programma's in verband met het milieu.</w:t>
            </w:r>
          </w:p>
          <w:p>
            <w:pPr>
              <w:spacing w:before="60" w:after="60"/>
              <w:ind w:left="45"/>
              <w:jc w:val="left"/>
            </w:pPr>
            <w:r>
              <w:rPr>
                <w:rFonts w:ascii="Arial" w:hAnsi="Arial"/>
                <w:b w:val="false"/>
                <w:i w:val="false"/>
                <w:color w:val="333333"/>
                <w:sz w:val="18"/>
              </w:rPr>
              <w:t>[De Koning bepaalt op voorstel van de Instelling de mechanismen inzake effectieve participatie van het publiek aan het besluitvormingsproces omtrent het beheer van de verbruikte splijtstof en het radioactief afval.]</w:t>
            </w:r>
          </w:p>
          <w:p>
            <w:pPr>
              <w:spacing w:before="60" w:after="60"/>
              <w:ind w:left="45"/>
              <w:jc w:val="left"/>
            </w:pPr>
            <w:r>
              <w:rPr>
                <w:rFonts w:ascii="Arial" w:hAnsi="Arial"/>
                <w:b w:val="false"/>
                <w:i w:val="false"/>
                <w:color w:val="333333"/>
                <w:sz w:val="18"/>
              </w:rPr>
              <w:t>De Nationale Beleidsmaatregelen met betrekking tot het beheer van radioactief afval en van als afval beschouwde verbruikte splijtstof omvatten modaliteiten van omkeerbaarheid, terugneembaarheid en monitoring voor een te bepalen periode als elementen voor het ontwerp en de exploitatie van elke bergingsinstallatie. Deze modaliteiten worden opgesteld rekening houdend met de noodzaak de veiligheid van de bergingsinstallatie te verzekeren.</w:t>
            </w:r>
          </w:p>
          <w:p>
            <w:pPr>
              <w:spacing w:before="60" w:after="60"/>
              <w:ind w:left="45"/>
              <w:jc w:val="left"/>
            </w:pPr>
            <w:r>
              <w:rPr>
                <w:rFonts w:ascii="Arial" w:hAnsi="Arial"/>
                <w:b w:val="false"/>
                <w:i w:val="false"/>
                <w:color w:val="333333"/>
                <w:sz w:val="18"/>
              </w:rPr>
              <w:t>De Nationale Beleidsmaatregelen omvatten de locatiekeuze van de bergingsinstallaties op voorstel van de Instelling die de bevoegde regelgevende autoriteit raadpleegt.</w:t>
            </w:r>
          </w:p>
          <w:p>
            <w:pPr>
              <w:spacing w:before="60" w:after="60"/>
              <w:ind w:left="45"/>
              <w:jc w:val="left"/>
            </w:pPr>
            <w:r>
              <w:rPr>
                <w:rFonts w:ascii="Arial" w:hAnsi="Arial"/>
                <w:b w:val="false"/>
                <w:i w:val="false"/>
                <w:color w:val="333333"/>
                <w:sz w:val="18"/>
              </w:rPr>
              <w:t>De Nationale Beleidsmaatregelen omvatten de modaliteiten van opvolging van deze beleidsmaatregelen, in voorkomend geval door een onafhankelijk multidisciplinair orgaan.</w:t>
            </w:r>
          </w:p>
          <w:p>
            <w:pPr>
              <w:spacing w:before="60" w:after="60"/>
              <w:ind w:left="45"/>
              <w:jc w:val="left"/>
            </w:pPr>
            <w:r>
              <w:rPr>
                <w:rFonts w:ascii="Arial" w:hAnsi="Arial"/>
                <w:b w:val="false"/>
                <w:i w:val="false"/>
                <w:color w:val="333333"/>
                <w:sz w:val="18"/>
              </w:rPr>
              <w:t>Op voorstel van de houders van de verbruikte splijtstof en na raadpleging van de Instelling en van de bevoegde regelgevende autoriteit, omvatten de Nationale Beleidsmaatregelen de aanvaarde hypotheses voor het verder gebruik van de verschillende types van verbruikte splijtstof.</w:t>
            </w:r>
          </w:p>
          <w:p>
            <w:pPr>
              <w:spacing w:before="60" w:after="60"/>
              <w:ind w:left="45"/>
              <w:jc w:val="left"/>
            </w:pPr>
            <w:r>
              <w:rPr>
                <w:rFonts w:ascii="Arial" w:hAnsi="Arial"/>
                <w:b w:val="false"/>
                <w:i w:val="false"/>
                <w:color w:val="333333"/>
                <w:sz w:val="18"/>
              </w:rPr>
              <w:t>Op basis van vaststellingen na de sluiting van de site via de monitoring op vlak van de veiligheid, kan de Koning bij besluit vastgesteld na overleg in de Ministerraad op voorstel van de minister tot wiens bevoegdheden de nucleaire veiligheid en beveiliging behoort, de heropening van de bergingsinstallatie, en in voorkomend geval, de terugname van het radioactieve afval of de verbruikte splijtstof opleggen.</w:t>
            </w:r>
          </w:p>
          <w:p>
            <w:pPr>
              <w:spacing w:before="60" w:after="60"/>
              <w:ind w:left="45"/>
              <w:jc w:val="left"/>
            </w:pPr>
            <w:r>
              <w:rPr>
                <w:rFonts w:ascii="Arial" w:hAnsi="Arial"/>
                <w:b w:val="false"/>
                <w:i w:val="false"/>
                <w:color w:val="333333"/>
                <w:sz w:val="18"/>
              </w:rPr>
              <w:t>De werkzaamheden voor de heropening van de bergingsinstallatie en, in voorkomend geval, de terugname van het radioactieve afval of de verbruikte splijtstof dienen het voorwerp te zijn van een vergunning verleend op basis van de wet van 15 april 1994 houdende de bescherming van de bevolking en het leefmilieu tegen de uit ioniserende stralingen voortspruitende gevaren.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7 </w:t>
            </w:r>
          </w:p>
          <w:p>
            <w:pPr>
              <w:spacing w:before="60" w:after="60"/>
              <w:ind w:left="45"/>
              <w:jc w:val="left"/>
            </w:pPr>
            <w:r>
              <w:rPr>
                <w:rFonts w:ascii="Arial" w:hAnsi="Arial"/>
                <w:b w:val="false"/>
                <w:i w:val="false"/>
                <w:color w:val="333333"/>
                <w:sz w:val="18"/>
              </w:rPr>
              <w:t>Indien radioactief afval of verbruikte splijtstof wordt overgebracht naar een ander land met het oog op verwerking of opwerking, blijft de uiteindelijke verantwoordelijkheid voor de veilige en verantwoorde berging van deze stoffen, ook voor al het als bijproduct gegenereerde afval, bij de Staat berusten, als land van waaruit de radioactieve stoffen zijn verzonden.</w:t>
            </w:r>
          </w:p>
          <w:p>
            <w:pPr>
              <w:spacing w:before="60" w:after="60"/>
              <w:ind w:left="45"/>
              <w:jc w:val="left"/>
            </w:pPr>
            <w:r>
              <w:rPr>
                <w:rFonts w:ascii="Arial" w:hAnsi="Arial"/>
                <w:b w:val="false"/>
                <w:i w:val="false"/>
                <w:color w:val="333333"/>
                <w:sz w:val="18"/>
              </w:rPr>
              <w:t>Het op het Belgisch grondgebied geproduceerde radioactief afval wordt er geborgen, tenzij op het moment van overbrenging, rekening houdend met de door de Europese Commissie overeenkomstig artikel 16, paragraaf 2, van Richtlijn 2006/117/Euratom opgestelde criteria, zoals omgezet bij koninklijk besluit van 24 maart 2009 tot regeling van de invoer, de doorvoer en de uitvoer van radioactieve stoffen, tussen de Staat en een ander land een overeenkomst van kracht is om een bergingsinstallatie in dat land te gebruiken.</w:t>
            </w:r>
          </w:p>
          <w:p>
            <w:pPr>
              <w:spacing w:before="0" w:after="0"/>
              <w:ind w:left="45"/>
              <w:jc w:val="left"/>
            </w:pPr>
            <w:r>
              <w:rPr>
                <w:rFonts w:ascii="Arial" w:hAnsi="Arial"/>
                <w:b w:val="false"/>
                <w:i w:val="false"/>
                <w:color w:val="333333"/>
                <w:sz w:val="18"/>
              </w:rPr>
              <w:t>Vóór de overbrenging naar dat andere land, stelt de Staat de Commissie op de hoogte van de inhoud van een dergelijke overeenkomst en neemt hij redelijke maatregelen om ervoor te zorgen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land van bestemming een overeenkomst over het beheer van verbruikte splijtstof en radioactief afval heeft gesloten met de Euratom-Gemeenschap, of partij is bij het Gezamenlijk Verdrag inzake de veiligheid van het beheer van verbruikte splijtstof en inzake de veiligheid van het beheer van radioactief afval (“het Gezamenlijk Verdrag”);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het land van bestemming over programma's inzake beheer en berging van radioactief afval beschikt waarvan de doelstellingen, van hoog veiligheidsniveau, gelijkwaardig zijn aan de doelstellingen die vastgesteld zijn door de Richtlijn 2011/70/Euratom, zoals omgezet in deze wet;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bergingsinstallatie in het land van bestemming vergund is het over te brengen radioactief afval te ontvangen, operationeel is vóór de overbrenging en beheerd wordt overeenkomstig de voorschriften van het programma van het land van bestemming inzake beheer en berging van radioactief afval.</w:t>
            </w:r>
          </w:p>
          <w:p>
            <w:pPr>
              <w:spacing w:before="0" w:after="0"/>
              <w:ind w:left="45"/>
              <w:jc w:val="left"/>
            </w:pPr>
            <w:r>
              <w:rPr>
                <w:rFonts w:ascii="Arial" w:hAnsi="Arial"/>
                <w:b w:val="false"/>
                <w:i w:val="false"/>
                <w:color w:val="333333"/>
                <w:sz w:val="18"/>
              </w:rPr>
              <w:t>De bepaling van het vorige lid is niet van toepassing op:</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terugbrenging van afgedankte ingekapselde bronnen naar een leverancier of fabrikant;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overbrenging van verbruikte splijtstof uit onderzoeksreactoren naar een land waar splijtstoffen van onderzoeksreactoren worden geleverd of vervaardigd, rekening houdend met de toepasselijke internationale overeenkomsten.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8 </w:t>
            </w:r>
          </w:p>
          <w:p>
            <w:pPr>
              <w:spacing w:before="60" w:after="60"/>
              <w:ind w:left="45"/>
              <w:jc w:val="left"/>
            </w:pPr>
            <w:r>
              <w:rPr>
                <w:rFonts w:ascii="Arial" w:hAnsi="Arial"/>
                <w:b w:val="false"/>
                <w:i w:val="false"/>
                <w:color w:val="333333"/>
                <w:sz w:val="18"/>
              </w:rPr>
              <w:t>Er wordt een Comité van het Nationale Programma opgericht belast met het opstellen van het Nationale Programma voor het beheer van verbruikte splijtstof en radioactief afval. Dit Comité bestaat uit vertegenwoordigers van de Federale Overheidsdienst belast met Energie, de Instelling en de in de eerste paragraaf van dit artikel bedoelde vennootschap, die allen handelen in het kader van hun bevoegdheden en opdrachten. Het Comité wordt voorgezeten door de Federale Overheidsdienst belast met Energie. Het secretariaat van het Comité wordt verzorgd door de Instelling. Het Comité kan zich laten bijstaan door deskundigen en de verschillende producenten van radioactief afval en van verbruikte splijtstof raadplegen.</w:t>
            </w:r>
          </w:p>
          <w:p>
            <w:pPr>
              <w:spacing w:before="60" w:after="60"/>
              <w:ind w:left="45"/>
              <w:jc w:val="left"/>
            </w:pPr>
            <w:r>
              <w:rPr>
                <w:rFonts w:ascii="Arial" w:hAnsi="Arial"/>
                <w:b w:val="false"/>
                <w:i w:val="false"/>
                <w:color w:val="333333"/>
                <w:sz w:val="18"/>
              </w:rPr>
              <w:t>De ministers die bevoegd zijn voor Energie en Economie maken, bij ministerieel besluit vastgesteld na overleg in de Ministerraad, op voordracht van het Comité van het Nationale Programma en na raadpleging van de bevoegde regelgevende autoriteit, een Nationaal Programma op voor het beheer van verbruikte splijtstof en radioactief afval. Dit programma maakt met name de balans op van de bestaande beheermethodes van verbruikte splijtstof en radioactief afval, brengt de te voorzien behoeften in kaart inzake opslag- of bergingsinstallaties, verduidelijkt de noodzakelijke capaciteit van deze installaties en de duur van de opslag en bepaalt de te bereiken doelstellingen voor het radioactieve afval dat nog niet het voorwerp uitmaakt van een definitieve beheermethode. Het Nationale Programma structureert de uitvoering van de onderzoeken en studies betreffende het beheer van de verbruikte splijtstof en van het radioactieve afval door mijlpalen vast te leggen voor de implementatie van nieuwe beheervormen, de oprichting van installaties of de wijziging van de bestaande installaties om te beantwoorden aan de hierboven gedefinieerde behoeftes en doelstellingen.</w:t>
            </w:r>
          </w:p>
          <w:p>
            <w:pPr>
              <w:spacing w:before="60" w:after="60"/>
              <w:ind w:left="45"/>
              <w:jc w:val="left"/>
            </w:pPr>
            <w:r>
              <w:rPr>
                <w:rFonts w:ascii="Arial" w:hAnsi="Arial"/>
                <w:b w:val="false"/>
                <w:i w:val="false"/>
                <w:color w:val="333333"/>
                <w:sz w:val="18"/>
              </w:rPr>
              <w:t>Het Nationale Programma wordt regelmatig bijgewerkt en telkens als een Nationale Beleidsmaatregel wordt aangenomen of gewijzigd.</w:t>
            </w:r>
          </w:p>
          <w:p>
            <w:pPr>
              <w:spacing w:before="60" w:after="60"/>
              <w:ind w:left="45"/>
              <w:jc w:val="left"/>
            </w:pPr>
            <w:r>
              <w:rPr>
                <w:rFonts w:ascii="Arial" w:hAnsi="Arial"/>
                <w:b w:val="false"/>
                <w:i w:val="false"/>
                <w:color w:val="333333"/>
                <w:sz w:val="18"/>
              </w:rPr>
              <w:t>De samenhang van het Nationale Programma voor het beheer van verbruikte splijtstof en radioactief afval moet worden nagestreefd, alsook de technische en economische optimalisatie ervan.</w:t>
            </w:r>
          </w:p>
          <w:p>
            <w:pPr>
              <w:spacing w:before="0" w:after="0"/>
              <w:ind w:left="45"/>
              <w:jc w:val="left"/>
            </w:pPr>
            <w:r>
              <w:rPr>
                <w:rFonts w:ascii="Arial" w:hAnsi="Arial"/>
                <w:b w:val="false"/>
                <w:i w:val="false"/>
                <w:color w:val="333333"/>
                <w:sz w:val="18"/>
              </w:rPr>
              <w:t>Het Nationale Programma bevat tevens: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globale doelstellingen die worden nagestreefd door de Nationale Beleidsmaatregelen bedoeld in paragraaf 6 van dit artikel ten aanzien van het beheer van verbruikte splijtstof en radioactief afval;</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belangrijke mijlpalen en duidelijke tijdsbestekken voor het bereiken van deze mijlpalen in het licht van de globale doelstellingen die worden nagestreefd door het Nationale Programma;</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een inventaris van alle verbruikte splijtstof en radioactief afval en ramingen van toekomstige hoeveelheden, met inbegrip van die welke voortkomen uit ontmanteling. In deze inventaris staan duidelijk de locatie en de hoeveelheid radioactief afval en verbruikte splijtstof vermeld, volgens de juiste indeling van radioactieve afvalstoffen en verbruikte splijtstof;</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concepten, plannen en technische oplossingen voor het beheer van verbruikte splijtstof en radioactief afval, van productie tot berging;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concepten of plannen voor de periode na de sluiting van een bergingsinstallatie, met inbegrip van de periode waarin passende controles worden aangehouden, alsook de in te zetten middelen om de kennis over deze installatie op lange termijn te behouden;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onderzoeks-, ontwikkelings- en demonstratieactiviteiten die nodig zijn om oplossingen voor het beheer van verbruikte splijtstof en radioactief afval toe te passen;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verantwoordelijkheden voor de uitvoering van het Nationale Programma en de essentiële prestatie-indicatoren bestemd voor toezicht op de vooruitgang van de uitvoering;</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een raming van de kosten van het Nationale Programma en de basis en de gebruikte hypothesen voor deze raming, met inbegrip van een kalender;</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de van kracht zijnde financieringsmechanisme(n);</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het transparantiebeleid of -proces;</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in voorkomend geval, de met een ander land gesloten overeen-komst(en) betreffende het beheer van verbruikte splijtstof of radioactief afval, inclusief het gebruik van bergingsinstallaties;</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de identificatie van de bijkomende vereisten die voortvloeien uit de onderlinge afhankelijkheid van de verschillende beheerstadia voor elk type van radioactief afval en verbruikte splijtstof vanaf hun productie tot hun berging, teneinde de afstemming en de globale samenhang ervan te verzekeren;</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de gegevens betreffende elke voorziene of overwogen wijziging van de installaties en/of van de praktijken die van aard zijn om een impact te hebben op het beheer van het radioactieve afval en van de verbruikte splijtstof;</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de gegevens betreffende de historische situaties en de voorbije of bestaande beroepsactiviteiten die stoffen hebben opgeleverd of opleveren die mogelijkerwijze van aard zijn om gekwalificeerd te worden als radioactief afval, evenals de basisbeginselen van de beheermethodes die voor dit radioactief afval worden overwogen in de hypothese dat het beheer ervan niet kan verzekerd worden op grond van bestaande beheermethodes.</w:t>
            </w:r>
          </w:p>
          <w:p>
            <w:pPr>
              <w:spacing w:before="60" w:after="60"/>
              <w:ind w:left="45"/>
              <w:jc w:val="left"/>
            </w:pPr>
            <w:r>
              <w:rPr>
                <w:rFonts w:ascii="Arial" w:hAnsi="Arial"/>
                <w:b w:val="false"/>
                <w:i w:val="false"/>
                <w:color w:val="333333"/>
                <w:sz w:val="18"/>
              </w:rPr>
              <w:t>Het Comité van het Nationale Programma kan bij de uitbaters van nucleaire installaties en bij de houders van radioactief afval of, bij ontstentenis, bij hun eigenaars, onder hun verantwoordelijkheid, op eenvoudig verzoek en zonder kosten, alle inlichtingen opvragen die nuttig zijn voor het opstellen van het Nationale Programma en in het bijzonder de informatie die betrekking heeft op het beheer van verbruikte splijtstof of van radioactief afval vóór hun overdracht aan de Instelling.</w:t>
            </w:r>
          </w:p>
          <w:p>
            <w:pPr>
              <w:spacing w:before="60" w:after="60"/>
              <w:ind w:left="45"/>
              <w:jc w:val="left"/>
            </w:pPr>
            <w:r>
              <w:rPr>
                <w:rFonts w:ascii="Arial" w:hAnsi="Arial"/>
                <w:b w:val="false"/>
                <w:i w:val="false"/>
                <w:color w:val="333333"/>
                <w:sz w:val="18"/>
              </w:rPr>
              <w:t>Het Nationale Programma wordt uiterlijk op 23 augustus 2015 aan de Europese Commissie ter kennis gebracht op initiatief van de ministers die bevoegd zijn voor Economie en Energie. De verdere belangrijke wijzigingen ervan worden aan de Commissie ter kennis gebracht binnen de maand na hun goedkeuring. In geval van een verzoek tot inlichtingen of verduidelijking van de Commissie, worden deze alsook de verdere herzieningen verstrekt binnen een termijn van zes maanden te rekenen vanaf de ontvangst van dit verzoek.</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9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verslag over de uitvoering van de Richtlijn 2011/70/Euratom, waarbij gebruik wordt gemaakt van de evaluaties en van de verslagen die opgemaakt werden in het kader van het Gezamenlijk Verdrag, wordt voor de eerste maal uiterlijk op 23 augustus 2015, en vervolgens om de drie jaar, ter kennis gebracht van de Europese Commissie door de ministers die bevoegd zijn voor Economie en Energie. De Instelling coördineert de opmaak en de kennisgeving van het verslag aan de Commissie.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Op gezette tijden, en ten minste om de tien jaar, worden op initiatief van de bevoegde ministers zelfevaluaties georganiseerd van het Nationale Kader, van de bevoegde regelgevende autoriteit, evenals van het Nationale Programma en haar uitvoering.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Op gezette tijden, en ten minste om de tien jaar, wordt op initiatief van de bevoegde ministers een internationale collegiale toetsing georganiseerd van het Nationale Kader, van de bevoegde regelgevende autoriteit en/of van het Nationale Programma teneinde te waarborgen dat bij het veilige beheer van verbruikte splijtstof en radioactief afval veiligheidsnormen van een hoog niveau worden bereikt.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resultaten van de collegiale toetsing worden aan de Commissie en de andere lidstaten bekendgemaakt en aan het publiek ter beschikking gesteld, voor zover dit niet in strijd is met de beveiliging en het vertrouwelijk karakter van de informatie.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10 </w:t>
            </w:r>
          </w:p>
          <w:p>
            <w:pPr>
              <w:spacing w:before="60" w:after="60"/>
              <w:ind w:left="45"/>
              <w:jc w:val="left"/>
            </w:pPr>
            <w:r>
              <w:rPr>
                <w:rFonts w:ascii="Arial" w:hAnsi="Arial"/>
                <w:b w:val="false"/>
                <w:i w:val="false"/>
                <w:color w:val="333333"/>
                <w:sz w:val="18"/>
              </w:rPr>
              <w:t>Elke natuurlijke of rechtspersoon die houder is van een vergunning of gehouden is tot bepaalde verplichtingen krachtens dit artikel, moet voor zijn personeel regelingen voorzien voor opleiding en training, alsmede activiteiten van onderzoek en ontwikkeling ondernemen om te voldoen aan het Nationale Programma voor het beheer van verbruikte splijtstof en radioactief afval, teneinde de nodige deskundigheid en bekwaamheid te verwerven, in stand te houden en verder te ontwikkelen. De Koning bepaalt de uitvoeringsmodaliteiten van deze paragraaf.</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11 </w:t>
            </w:r>
          </w:p>
          <w:p>
            <w:pPr>
              <w:spacing w:before="60" w:after="60"/>
              <w:ind w:left="45"/>
              <w:jc w:val="left"/>
            </w:pPr>
            <w:r>
              <w:rPr>
                <w:rFonts w:ascii="Arial" w:hAnsi="Arial"/>
                <w:b w:val="false"/>
                <w:i w:val="false"/>
                <w:color w:val="333333"/>
                <w:sz w:val="18"/>
              </w:rPr>
              <w:t>De aanvaarding zoals voorzien in § 5, 7°, is niet vereist voor de verbruikte splijtstof en de radioactieve stoffen waarvan het voorziene of overwogen verder gebruik nog niet het voorwerp is geweest van een Nationale Beleidsmaatregel. Dit artikel doet geen afbreuk aan de wettelijke en reglementaire bepalingen waarnaar § 5, 7°, verwijst.</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193 </w:t>
            </w:r>
          </w:p>
          <w:p>
            <w:pPr>
              <w:spacing w:before="60" w:after="60"/>
              <w:ind w:left="45"/>
              <w:jc w:val="left"/>
            </w:pPr>
            <w:r>
              <w:rPr>
                <w:rFonts w:ascii="Arial" w:hAnsi="Arial"/>
                <w:b w:val="false"/>
                <w:i w:val="false"/>
                <w:color w:val="333333"/>
                <w:sz w:val="18"/>
              </w:rPr>
              <w:t>Le Roi, par arrêté délibéré en Conseil des Ministres, fixe la date d'entrée en vigueur des dispositions de l'article 17, § 2.</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193 </w:t>
            </w:r>
          </w:p>
          <w:p>
            <w:pPr>
              <w:spacing w:before="60" w:after="60"/>
              <w:ind w:left="45"/>
              <w:jc w:val="left"/>
            </w:pPr>
            <w:r>
              <w:rPr>
                <w:rFonts w:ascii="Arial" w:hAnsi="Arial"/>
                <w:b w:val="false"/>
                <w:i w:val="false"/>
                <w:color w:val="333333"/>
                <w:sz w:val="18"/>
              </w:rPr>
              <w:t>De Koning stelt, bij een in Ministerraad overlegd besluit, de datum van inwerkingtreding van de bepalingen van artikel 179, § 2 vast.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