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13/02/20 KB Medische blootstellingen</w:t>
            </w:r>
            <w:r>
              <w:br/>
            </w:r>
            <w:r>
              <w:rPr>
                <w:rFonts w:ascii="Arial" w:hAnsi="Arial"/>
                <w:b/>
                <w:i w:val="false"/>
                <w:color w:val="333333"/>
              </w:rPr>
              <w:t xml:space="preserve">Koninklijk besluit van 13 februari 2020 betreffende de medische blootstellingen en blootstellingen bij niet-medische beeldvorming met medisch-radiologische uitrustingen </w:t>
            </w:r>
          </w:p>
          <w:p>
            <w:pPr>
              <w:spacing w:before="0" w:after="0"/>
              <w:ind w:left="45"/>
              <w:jc w:val="left"/>
            </w:pPr>
            <w:r>
              <w:rPr>
                <w:rFonts w:ascii="Arial" w:hAnsi="Arial"/>
                <w:b w:val="false"/>
                <w:i w:val="false"/>
                <w:color w:val="333333"/>
                <w:sz w:val="18"/>
              </w:rPr>
              <w:t>Gelet op artikel 108 van de Grondwet;</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artikelen 3, 14, 14bis, 19, 27bis en 27ter, gewijzigd door de wet van 19 april 2018;</w:t>
            </w:r>
          </w:p>
          <w:p>
            <w:pPr>
              <w:spacing w:before="0" w:after="0"/>
              <w:ind w:left="45"/>
              <w:jc w:val="left"/>
            </w:pPr>
            <w:r>
              <w:rPr>
                <w:rFonts w:ascii="Arial" w:hAnsi="Arial"/>
                <w:b w:val="false"/>
                <w:i w:val="false"/>
                <w:color w:val="333333"/>
                <w:sz w:val="18"/>
              </w:rPr>
              <w:t>Gelet op het advies van de Federale Raad voor Ziekenhuisvoorzieningen, gegeven op 13 december 2018;</w:t>
            </w:r>
          </w:p>
          <w:p>
            <w:pPr>
              <w:spacing w:before="0" w:after="0"/>
              <w:ind w:left="45"/>
              <w:jc w:val="left"/>
            </w:pPr>
            <w:r>
              <w:rPr>
                <w:rFonts w:ascii="Arial" w:hAnsi="Arial"/>
                <w:b w:val="false"/>
                <w:i w:val="false"/>
                <w:color w:val="333333"/>
                <w:sz w:val="18"/>
              </w:rPr>
              <w:t>Gelet op het advies nr. 152/2018 van de Gegevensbeschermingsautoriteit, gegeven op 19 december 2018;</w:t>
            </w:r>
          </w:p>
          <w:p>
            <w:pPr>
              <w:spacing w:before="0" w:after="0"/>
              <w:ind w:left="45"/>
              <w:jc w:val="left"/>
            </w:pPr>
            <w:r>
              <w:rPr>
                <w:rFonts w:ascii="Arial" w:hAnsi="Arial"/>
                <w:b w:val="false"/>
                <w:i w:val="false"/>
                <w:color w:val="333333"/>
                <w:sz w:val="18"/>
              </w:rPr>
              <w:t>Gelet op het advies van de Académie Royale de Médecine de Belgique, gegeven op 20 december 2018;</w:t>
            </w:r>
          </w:p>
          <w:p>
            <w:pPr>
              <w:spacing w:before="0" w:after="0"/>
              <w:ind w:left="45"/>
              <w:jc w:val="left"/>
            </w:pPr>
            <w:r>
              <w:rPr>
                <w:rFonts w:ascii="Arial" w:hAnsi="Arial"/>
                <w:b w:val="false"/>
                <w:i w:val="false"/>
                <w:color w:val="333333"/>
                <w:sz w:val="18"/>
              </w:rPr>
              <w:t>Gelet op het advies van de Koninklijke Academie voor Geneeskunde van België, gegeven op 18 januari 2019;</w:t>
            </w:r>
          </w:p>
          <w:p>
            <w:pPr>
              <w:spacing w:before="0" w:after="0"/>
              <w:ind w:left="45"/>
              <w:jc w:val="left"/>
            </w:pPr>
            <w:r>
              <w:rPr>
                <w:rFonts w:ascii="Arial" w:hAnsi="Arial"/>
                <w:b w:val="false"/>
                <w:i w:val="false"/>
                <w:color w:val="333333"/>
                <w:sz w:val="18"/>
              </w:rPr>
              <w:t>Gelet op het advies nr. 9511 van de Hoge Gezondheidsraad, gegeven op 29 januari 2019;</w:t>
            </w:r>
          </w:p>
          <w:p>
            <w:pPr>
              <w:spacing w:before="0" w:after="0"/>
              <w:ind w:left="45"/>
              <w:jc w:val="left"/>
            </w:pPr>
            <w:r>
              <w:rPr>
                <w:rFonts w:ascii="Arial" w:hAnsi="Arial"/>
                <w:b w:val="false"/>
                <w:i w:val="false"/>
                <w:color w:val="333333"/>
                <w:sz w:val="18"/>
              </w:rPr>
              <w:t>Gelet op het advies van de Hoge Raad voor Preventie en Bescherming op het Werk, gegeven op 22 februari 2019;</w:t>
            </w:r>
          </w:p>
          <w:p>
            <w:pPr>
              <w:spacing w:before="0" w:after="0"/>
              <w:ind w:left="45"/>
              <w:jc w:val="left"/>
            </w:pPr>
            <w:r>
              <w:rPr>
                <w:rFonts w:ascii="Arial" w:hAnsi="Arial"/>
                <w:b w:val="false"/>
                <w:i w:val="false"/>
                <w:color w:val="333333"/>
                <w:sz w:val="18"/>
              </w:rPr>
              <w:t>Gelet op het advies van de Nationale Arbeidsraad, gegeven op 26 februari 2019;</w:t>
            </w:r>
          </w:p>
          <w:p>
            <w:pPr>
              <w:spacing w:before="0" w:after="0"/>
              <w:ind w:left="45"/>
              <w:jc w:val="left"/>
            </w:pPr>
            <w:r>
              <w:rPr>
                <w:rFonts w:ascii="Arial" w:hAnsi="Arial"/>
                <w:b w:val="false"/>
                <w:i w:val="false"/>
                <w:color w:val="333333"/>
                <w:sz w:val="18"/>
              </w:rPr>
              <w:t>Gelet op het advies van de Inspecteur van Financiën, gegeven op 15 juli 2019;</w:t>
            </w:r>
          </w:p>
          <w:p>
            <w:pPr>
              <w:spacing w:before="0" w:after="0"/>
              <w:ind w:left="45"/>
              <w:jc w:val="left"/>
            </w:pPr>
            <w:r>
              <w:rPr>
                <w:rFonts w:ascii="Arial" w:hAnsi="Arial"/>
                <w:b w:val="false"/>
                <w:i w:val="false"/>
                <w:color w:val="333333"/>
                <w:sz w:val="18"/>
              </w:rPr>
              <w:t>Gelet op de akkoordbevinding van de Minister van Begroting, gegeven op 25 juli 2019;</w:t>
            </w:r>
          </w:p>
          <w:p>
            <w:pPr>
              <w:spacing w:before="0" w:after="0"/>
              <w:ind w:left="45"/>
              <w:jc w:val="left"/>
            </w:pPr>
            <w:r>
              <w:rPr>
                <w:rFonts w:ascii="Arial" w:hAnsi="Arial"/>
                <w:b w:val="false"/>
                <w:i w:val="false"/>
                <w:color w:val="333333"/>
                <w:sz w:val="18"/>
              </w:rPr>
              <w:t>Gelet op de impactanalyse van de regelgeving, uitgevoerd overeenkomstig de artikelen 6 en 7 van de wet van 15 december 2013 houdende diverse bepalingen inzake administratieve vereenvoudiging;</w:t>
            </w:r>
          </w:p>
          <w:p>
            <w:pPr>
              <w:spacing w:before="0" w:after="0"/>
              <w:ind w:left="45"/>
              <w:jc w:val="left"/>
            </w:pPr>
            <w:r>
              <w:rPr>
                <w:rFonts w:ascii="Arial" w:hAnsi="Arial"/>
                <w:b w:val="false"/>
                <w:i w:val="false"/>
                <w:color w:val="333333"/>
                <w:sz w:val="18"/>
              </w:rPr>
              <w:t xml:space="preserve">Gelet op het </w:t>
            </w:r>
            <w:hyperlink r:id="rId4">
              <w:r>
                <w:rPr>
                  <w:rFonts w:ascii="Arial" w:hAnsi="Arial"/>
                  <w:b w:val="false"/>
                  <w:i w:val="false"/>
                  <w:color w:val="0000ff"/>
                  <w:sz w:val="18"/>
                  <w:u w:val="single"/>
                </w:rPr>
                <w:t>advies nr. 66.588/3</w:t>
              </w:r>
            </w:hyperlink>
            <w:r>
              <w:rPr>
                <w:rFonts w:ascii="Arial" w:hAnsi="Arial"/>
                <w:b w:val="false"/>
                <w:i w:val="false"/>
                <w:color w:val="333333"/>
                <w:sz w:val="18"/>
              </w:rPr>
              <w:t xml:space="preserve"> van de Raad van State, gegeven op 16 oktober 2019, met toepassing van artikel 84, § 1, eerste lid, 2°, van de gecoördineerde wetten op de Raad van State;</w:t>
            </w:r>
          </w:p>
          <w:p>
            <w:pPr>
              <w:spacing w:before="0" w:after="0"/>
              <w:ind w:left="45"/>
              <w:jc w:val="left"/>
            </w:pPr>
            <w:r>
              <w:rPr>
                <w:rFonts w:ascii="Arial" w:hAnsi="Arial"/>
                <w:b w:val="false"/>
                <w:i w:val="false"/>
                <w:color w:val="333333"/>
                <w:sz w:val="18"/>
              </w:rPr>
              <w:t>Gelet op de aanmelding bij de Europese Commissie, gedaan op 22 oktober 2019;</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 xml:space="preserve">13/02/20 AR Expositions médicales </w:t>
            </w:r>
            <w:r>
              <w:br/>
            </w:r>
            <w:r>
              <w:rPr>
                <w:rFonts w:ascii="Arial" w:hAnsi="Arial"/>
                <w:b/>
                <w:i w:val="false"/>
                <w:color w:val="333333"/>
              </w:rPr>
              <w:t xml:space="preserve">Arrêté royal du 13 février 2020 relatif aux expositions médicales et aux expositions à des fins d'imagerie non médicale avec des équipements radiologiques médicaux </w:t>
            </w:r>
          </w:p>
          <w:p>
            <w:pPr>
              <w:spacing w:before="0" w:after="0"/>
              <w:ind w:left="45"/>
              <w:jc w:val="left"/>
            </w:pPr>
            <w:r>
              <w:rPr>
                <w:rFonts w:ascii="Arial" w:hAnsi="Arial"/>
                <w:b w:val="false"/>
                <w:i w:val="false"/>
                <w:color w:val="333333"/>
                <w:sz w:val="18"/>
              </w:rPr>
              <w:t>Vu l'article 108 de la Constitution;</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articles 3, 14, 14bis, 19, 27bis en 27ter modifié par la loi du 19 avril 2018;</w:t>
            </w:r>
          </w:p>
          <w:p>
            <w:pPr>
              <w:spacing w:before="0" w:after="0"/>
              <w:ind w:left="45"/>
              <w:jc w:val="left"/>
            </w:pPr>
            <w:r>
              <w:rPr>
                <w:rFonts w:ascii="Arial" w:hAnsi="Arial"/>
                <w:b w:val="false"/>
                <w:i w:val="false"/>
                <w:color w:val="333333"/>
                <w:sz w:val="18"/>
              </w:rPr>
              <w:t>Vu l'avis du Conseil Fédéral des Établissements Hospitaliers, donné le 13 décembre 2018;</w:t>
            </w:r>
          </w:p>
          <w:p>
            <w:pPr>
              <w:spacing w:before="0" w:after="0"/>
              <w:ind w:left="45"/>
              <w:jc w:val="left"/>
            </w:pPr>
            <w:r>
              <w:rPr>
                <w:rFonts w:ascii="Arial" w:hAnsi="Arial"/>
                <w:b w:val="false"/>
                <w:i w:val="false"/>
                <w:color w:val="333333"/>
                <w:sz w:val="18"/>
              </w:rPr>
              <w:t>Vu l'avis n° 152/2018 de l'Autorité de protection des données, donné le 19 décembre 2018;</w:t>
            </w:r>
          </w:p>
          <w:p>
            <w:pPr>
              <w:spacing w:before="0" w:after="0"/>
              <w:ind w:left="45"/>
              <w:jc w:val="left"/>
            </w:pPr>
            <w:r>
              <w:rPr>
                <w:rFonts w:ascii="Arial" w:hAnsi="Arial"/>
                <w:b w:val="false"/>
                <w:i w:val="false"/>
                <w:color w:val="333333"/>
                <w:sz w:val="18"/>
              </w:rPr>
              <w:t>Vu l'avis de l'Académie Royale de Médecine de Belgique, donné le 20 décembre 2018;</w:t>
            </w:r>
          </w:p>
          <w:p>
            <w:pPr>
              <w:spacing w:before="0" w:after="0"/>
              <w:ind w:left="45"/>
              <w:jc w:val="left"/>
            </w:pPr>
            <w:r>
              <w:rPr>
                <w:rFonts w:ascii="Arial" w:hAnsi="Arial"/>
                <w:b w:val="false"/>
                <w:i w:val="false"/>
                <w:color w:val="333333"/>
                <w:sz w:val="18"/>
              </w:rPr>
              <w:t>Vu l'avis du Koninklijke Academie voor Geneeskunde van België, donné le 18 janvier 2019;</w:t>
            </w:r>
          </w:p>
          <w:p>
            <w:pPr>
              <w:spacing w:before="0" w:after="0"/>
              <w:ind w:left="45"/>
              <w:jc w:val="left"/>
            </w:pPr>
            <w:r>
              <w:rPr>
                <w:rFonts w:ascii="Arial" w:hAnsi="Arial"/>
                <w:b w:val="false"/>
                <w:i w:val="false"/>
                <w:color w:val="333333"/>
                <w:sz w:val="18"/>
              </w:rPr>
              <w:t>Vu l'avis n° 9511 du Conseil Supérieur de la Santé, donné le 29 janvier 2019;</w:t>
            </w:r>
          </w:p>
          <w:p>
            <w:pPr>
              <w:spacing w:before="0" w:after="0"/>
              <w:ind w:left="45"/>
              <w:jc w:val="left"/>
            </w:pPr>
            <w:r>
              <w:rPr>
                <w:rFonts w:ascii="Arial" w:hAnsi="Arial"/>
                <w:b w:val="false"/>
                <w:i w:val="false"/>
                <w:color w:val="333333"/>
                <w:sz w:val="18"/>
              </w:rPr>
              <w:t>Vu l'avis du Conseil supérieur pour la Prévention et la Protection au travail, donné le 22 février 2019;</w:t>
            </w:r>
          </w:p>
          <w:p>
            <w:pPr>
              <w:spacing w:before="0" w:after="0"/>
              <w:ind w:left="45"/>
              <w:jc w:val="left"/>
            </w:pPr>
            <w:r>
              <w:rPr>
                <w:rFonts w:ascii="Arial" w:hAnsi="Arial"/>
                <w:b w:val="false"/>
                <w:i w:val="false"/>
                <w:color w:val="333333"/>
                <w:sz w:val="18"/>
              </w:rPr>
              <w:t>Vu l'avis du Conseil national du Travail, donné le 26 février 2019;</w:t>
            </w:r>
          </w:p>
          <w:p>
            <w:pPr>
              <w:spacing w:before="0" w:after="0"/>
              <w:ind w:left="45"/>
              <w:jc w:val="left"/>
            </w:pPr>
            <w:r>
              <w:rPr>
                <w:rFonts w:ascii="Arial" w:hAnsi="Arial"/>
                <w:b w:val="false"/>
                <w:i w:val="false"/>
                <w:color w:val="333333"/>
                <w:sz w:val="18"/>
              </w:rPr>
              <w:t>Vu l'avis de l'Inspecteur des Finances, donné le 15 juillet 2019;</w:t>
            </w:r>
          </w:p>
          <w:p>
            <w:pPr>
              <w:spacing w:before="0" w:after="0"/>
              <w:ind w:left="45"/>
              <w:jc w:val="left"/>
            </w:pPr>
            <w:r>
              <w:rPr>
                <w:rFonts w:ascii="Arial" w:hAnsi="Arial"/>
                <w:b w:val="false"/>
                <w:i w:val="false"/>
                <w:color w:val="333333"/>
                <w:sz w:val="18"/>
              </w:rPr>
              <w:t>Vu l'accord du Ministre du Budget, donné le 25 juillet 2019;</w:t>
            </w:r>
          </w:p>
          <w:p>
            <w:pPr>
              <w:spacing w:before="0" w:after="0"/>
              <w:ind w:left="45"/>
              <w:jc w:val="left"/>
            </w:pPr>
            <w:r>
              <w:rPr>
                <w:rFonts w:ascii="Arial" w:hAnsi="Arial"/>
                <w:b w:val="false"/>
                <w:i w:val="false"/>
                <w:color w:val="333333"/>
                <w:sz w:val="18"/>
              </w:rPr>
              <w:t>Vu l'analyse d'impact de la réglementation réalisée conformément aux articles 6 et 7 de la loi du 15 décembre 2013 portant des dispositions diverses en matière de simplification administrative;</w:t>
            </w:r>
          </w:p>
          <w:p>
            <w:pPr>
              <w:spacing w:before="0" w:after="0"/>
              <w:ind w:left="45"/>
              <w:jc w:val="left"/>
            </w:pPr>
            <w:r>
              <w:rPr>
                <w:rFonts w:ascii="Arial" w:hAnsi="Arial"/>
                <w:b w:val="false"/>
                <w:i w:val="false"/>
                <w:color w:val="333333"/>
                <w:sz w:val="18"/>
              </w:rPr>
              <w:t>Vu l'</w:t>
            </w:r>
            <w:hyperlink r:id="rId5">
              <w:r>
                <w:rPr>
                  <w:rFonts w:ascii="Arial" w:hAnsi="Arial"/>
                  <w:b w:val="false"/>
                  <w:i w:val="false"/>
                  <w:color w:val="0000ff"/>
                  <w:sz w:val="18"/>
                  <w:u w:val="single"/>
                </w:rPr>
                <w:t>avis du Conseil d'Etat n° 66.588/3</w:t>
              </w:r>
            </w:hyperlink>
            <w:r>
              <w:rPr>
                <w:rFonts w:ascii="Arial" w:hAnsi="Arial"/>
                <w:b w:val="false"/>
                <w:i w:val="false"/>
                <w:color w:val="333333"/>
                <w:sz w:val="18"/>
              </w:rPr>
              <w:t xml:space="preserve"> rendu le 16 octobre 2019, en application de l'article 84, § 1, premier alinéa, 2°, des lois coordonnées sur le Conseil d'Etat;</w:t>
            </w:r>
          </w:p>
          <w:p>
            <w:pPr>
              <w:spacing w:before="0" w:after="0"/>
              <w:ind w:left="45"/>
              <w:jc w:val="left"/>
            </w:pPr>
            <w:r>
              <w:rPr>
                <w:rFonts w:ascii="Arial" w:hAnsi="Arial"/>
                <w:b w:val="false"/>
                <w:i w:val="false"/>
                <w:color w:val="333333"/>
                <w:sz w:val="18"/>
              </w:rPr>
              <w:t>Vu la communication à la Commission européenne, faite le 22 octobre 2019;</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77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De practici vergund voor het gebruik van toestellen en ingekapselde radioactieve producten in het kader van de radiotherapie zijn ertoe gehouden hun kennis en bekwaamheid op het gebied van de stralingsbescherming op peil te houden en te vervolmaken, in het kader van een permanente vorming op universitair niveau.</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Deze permanente vorming is gericht op de stralingsbescherming van de patiënt en omvat, specifiek voor de gebruikte technieken, de principes en de correcte toepassing van rechtvaardiging en optimalisatie in het kader van bestaande en nieuwe technieken, de gezondheidseffecten van blootstelling aan ioniserende stralingen en de Belgische wetgeving in stralingsbescherming. Zij bedraagt minimaal 9 uur over een periode van drie jaar.</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De aanvraag tot verlenging of wijziging van de vergunning bedoeld in artikel 76 gebeurt volgens de modaliteiten bepaald in artikel 63.</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77 </w:t>
            </w:r>
          </w:p>
          <w:p>
            <w:pPr>
              <w:spacing w:before="0" w:after="0"/>
              <w:ind w:left="45"/>
              <w:jc w:val="left"/>
            </w:pPr>
          </w:p>
          <w:p>
            <w:pPr>
              <w:spacing w:before="0" w:after="0"/>
              <w:ind w:left="45"/>
              <w:jc w:val="left"/>
            </w:pPr>
            <w:r>
              <w:rPr>
                <w:rFonts w:ascii="Arial" w:hAnsi="Arial"/>
                <w:b w:val="false"/>
                <w:i w:val="false"/>
                <w:color w:val="333333"/>
                <w:sz w:val="18"/>
              </w:rPr>
              <w:t xml:space="preserve"> § 1 </w:t>
            </w:r>
          </w:p>
          <w:p>
            <w:pPr>
              <w:spacing w:before="60" w:after="60"/>
              <w:ind w:left="45"/>
              <w:jc w:val="left"/>
            </w:pPr>
            <w:r>
              <w:rPr>
                <w:rFonts w:ascii="Arial" w:hAnsi="Arial"/>
                <w:b w:val="false"/>
                <w:i w:val="false"/>
                <w:color w:val="333333"/>
                <w:sz w:val="18"/>
              </w:rPr>
              <w:t>Les praticiens autorisés pour l'utilisation d'appareils et de produits radioactifs scellés dans le cadre de la radiothérapie sont tenus d'entretenir et de développer leurs connaissances et leur compétence en radioprotection, dans le cadre d'une formation continue de niveau universitaire.</w:t>
            </w:r>
          </w:p>
          <w:p>
            <w:pPr>
              <w:spacing w:before="0" w:after="0"/>
              <w:ind w:left="45"/>
              <w:jc w:val="left"/>
            </w:pPr>
          </w:p>
          <w:p>
            <w:pPr>
              <w:spacing w:before="0" w:after="0"/>
              <w:ind w:left="45"/>
              <w:jc w:val="left"/>
            </w:pPr>
            <w:r>
              <w:rPr>
                <w:rFonts w:ascii="Arial" w:hAnsi="Arial"/>
                <w:b w:val="false"/>
                <w:i w:val="false"/>
                <w:color w:val="333333"/>
                <w:sz w:val="18"/>
              </w:rPr>
              <w:t xml:space="preserve"> § 2 </w:t>
            </w:r>
          </w:p>
          <w:p>
            <w:pPr>
              <w:spacing w:before="60" w:after="60"/>
              <w:ind w:left="45"/>
              <w:jc w:val="left"/>
            </w:pPr>
            <w:r>
              <w:rPr>
                <w:rFonts w:ascii="Arial" w:hAnsi="Arial"/>
                <w:b w:val="false"/>
                <w:i w:val="false"/>
                <w:color w:val="333333"/>
                <w:sz w:val="18"/>
              </w:rPr>
              <w:t>Cette formation continue est axée sur la radioprotection du patient et porte, spécifiquement pour les techniques utilisées, en particulier sur les principes et l'application correcte de la justification et de l'optimisation dans le cadre des techniques existantes et des techniques nouvelles, sur les effets de l'exposition aux rayonnements ionisants sur la santé, et sur la législation belge en radioprotection. Elle comporte au moins 9 heures sur une période de trois ans.</w:t>
            </w:r>
          </w:p>
          <w:p>
            <w:pPr>
              <w:spacing w:before="0" w:after="0"/>
              <w:ind w:left="45"/>
              <w:jc w:val="left"/>
            </w:pPr>
          </w:p>
          <w:p>
            <w:pPr>
              <w:spacing w:before="0" w:after="0"/>
              <w:ind w:left="45"/>
              <w:jc w:val="left"/>
            </w:pPr>
            <w:r>
              <w:rPr>
                <w:rFonts w:ascii="Arial" w:hAnsi="Arial"/>
                <w:b w:val="false"/>
                <w:i w:val="false"/>
                <w:color w:val="333333"/>
                <w:sz w:val="18"/>
              </w:rPr>
              <w:t xml:space="preserve"> § 3 </w:t>
            </w:r>
          </w:p>
          <w:p>
            <w:pPr>
              <w:spacing w:before="60" w:after="60"/>
              <w:ind w:left="45"/>
              <w:jc w:val="left"/>
            </w:pPr>
            <w:r>
              <w:rPr>
                <w:rFonts w:ascii="Arial" w:hAnsi="Arial"/>
                <w:b w:val="false"/>
                <w:i w:val="false"/>
                <w:color w:val="333333"/>
                <w:sz w:val="18"/>
              </w:rPr>
              <w:t>La demande de prolongation ou de modification de l'autorisation visée à l'article 76 se déroule suivant les modalités décrites à l'article 63.</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www.raadvst-consetat.be/dbx/adviezen/66588.pdf" Type="http://schemas.openxmlformats.org/officeDocument/2006/relationships/hyperlink" Id="rId4"/>
    <Relationship TargetMode="External" Target="http://www.raadvst-consetat.be/dbx/avis/66588.pdf" Type="http://schemas.openxmlformats.org/officeDocument/2006/relationships/hyperlink" Id="rId5"/>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